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A2C" w:rsidRPr="00E16A2C" w:rsidRDefault="00E16A2C" w:rsidP="00E16A2C">
      <w:pPr>
        <w:spacing w:line="240" w:lineRule="auto"/>
        <w:jc w:val="left"/>
        <w:rPr>
          <w:rFonts w:cs="Times New Roman"/>
          <w:szCs w:val="24"/>
        </w:rPr>
      </w:pPr>
      <w:r w:rsidRPr="00E16A2C">
        <w:rPr>
          <w:rFonts w:cs="Times New Roman"/>
          <w:szCs w:val="24"/>
        </w:rPr>
        <w:t>Broj RKP-a: 10055    Matični broj: 03301192    Razina: 31   Šifra djelatnosti:8520     Razdjel: 000</w:t>
      </w:r>
    </w:p>
    <w:p w:rsidR="00684E8F" w:rsidRPr="00684E8F" w:rsidRDefault="00506146" w:rsidP="00684E8F">
      <w:pPr>
        <w:spacing w:line="24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KLASA: 400-04/26</w:t>
      </w:r>
      <w:r w:rsidR="00684E8F" w:rsidRPr="00684E8F">
        <w:rPr>
          <w:rFonts w:cs="Times New Roman"/>
          <w:szCs w:val="24"/>
        </w:rPr>
        <w:t>-01/1</w:t>
      </w:r>
    </w:p>
    <w:p w:rsidR="00E16A2C" w:rsidRPr="00E16A2C" w:rsidRDefault="00C92BD5" w:rsidP="00684E8F">
      <w:pPr>
        <w:spacing w:line="24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URBROJ: 2196-4-5-01-26</w:t>
      </w:r>
      <w:r w:rsidR="00684E8F">
        <w:rPr>
          <w:rFonts w:cs="Times New Roman"/>
          <w:szCs w:val="24"/>
        </w:rPr>
        <w:t>-5</w:t>
      </w:r>
    </w:p>
    <w:p w:rsidR="00E16A2C" w:rsidRPr="00E16A2C" w:rsidRDefault="00C92BD5" w:rsidP="00E16A2C">
      <w:pPr>
        <w:spacing w:line="24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U Vinkovcima, 5. ožujka 2026</w:t>
      </w:r>
      <w:r w:rsidR="00E16A2C" w:rsidRPr="00E16A2C">
        <w:rPr>
          <w:rFonts w:cs="Times New Roman"/>
          <w:szCs w:val="24"/>
        </w:rPr>
        <w:t>. godine</w:t>
      </w:r>
    </w:p>
    <w:p w:rsidR="00B50CE2" w:rsidRPr="00187925" w:rsidRDefault="00B50CE2" w:rsidP="00187925">
      <w:pPr>
        <w:spacing w:line="240" w:lineRule="auto"/>
        <w:jc w:val="left"/>
        <w:rPr>
          <w:rFonts w:cs="Times New Roman"/>
          <w:szCs w:val="24"/>
        </w:rPr>
      </w:pPr>
    </w:p>
    <w:p w:rsidR="0005241A" w:rsidRPr="0005241A" w:rsidRDefault="00187925" w:rsidP="0005241A">
      <w:pPr>
        <w:jc w:val="center"/>
        <w:rPr>
          <w:b/>
          <w:sz w:val="28"/>
        </w:rPr>
      </w:pPr>
      <w:r w:rsidRPr="00187925">
        <w:rPr>
          <w:rFonts w:cs="Times New Roman"/>
        </w:rPr>
        <w:t xml:space="preserve">          </w:t>
      </w:r>
      <w:r w:rsidR="00BE4310">
        <w:rPr>
          <w:b/>
          <w:sz w:val="28"/>
        </w:rPr>
        <w:t xml:space="preserve"> </w:t>
      </w:r>
      <w:r w:rsidR="0002141E">
        <w:rPr>
          <w:b/>
          <w:sz w:val="28"/>
        </w:rPr>
        <w:t xml:space="preserve"> </w:t>
      </w:r>
      <w:r w:rsidR="001418C0">
        <w:rPr>
          <w:b/>
          <w:sz w:val="28"/>
        </w:rPr>
        <w:t>Obrazloženje I</w:t>
      </w:r>
      <w:bookmarkStart w:id="0" w:name="_GoBack"/>
      <w:bookmarkEnd w:id="0"/>
      <w:r w:rsidR="001B2E75">
        <w:rPr>
          <w:b/>
          <w:sz w:val="28"/>
        </w:rPr>
        <w:t xml:space="preserve">zvještaja o </w:t>
      </w:r>
      <w:r w:rsidR="00BE4310">
        <w:rPr>
          <w:b/>
          <w:sz w:val="28"/>
        </w:rPr>
        <w:t>godišnjem</w:t>
      </w:r>
      <w:r w:rsidR="0005241A">
        <w:rPr>
          <w:b/>
          <w:sz w:val="28"/>
        </w:rPr>
        <w:t xml:space="preserve"> i</w:t>
      </w:r>
      <w:r w:rsidR="00205F01">
        <w:rPr>
          <w:b/>
          <w:sz w:val="28"/>
        </w:rPr>
        <w:t>z</w:t>
      </w:r>
      <w:r w:rsidR="000A737A">
        <w:rPr>
          <w:b/>
          <w:sz w:val="28"/>
        </w:rPr>
        <w:t>vršenj</w:t>
      </w:r>
      <w:r w:rsidR="00BE4310">
        <w:rPr>
          <w:b/>
          <w:sz w:val="28"/>
        </w:rPr>
        <w:t>u</w:t>
      </w:r>
      <w:r w:rsidR="00EA378F">
        <w:rPr>
          <w:b/>
          <w:sz w:val="28"/>
        </w:rPr>
        <w:t xml:space="preserve"> Financijskog plana </w:t>
      </w:r>
      <w:r w:rsidR="00BA4B09">
        <w:rPr>
          <w:b/>
          <w:sz w:val="28"/>
        </w:rPr>
        <w:t>za</w:t>
      </w:r>
      <w:r w:rsidR="002F0860">
        <w:rPr>
          <w:b/>
          <w:sz w:val="28"/>
        </w:rPr>
        <w:t xml:space="preserve"> 2025</w:t>
      </w:r>
      <w:r w:rsidR="0005241A">
        <w:rPr>
          <w:b/>
          <w:sz w:val="28"/>
        </w:rPr>
        <w:t>.</w:t>
      </w:r>
      <w:r w:rsidR="00BA4B09">
        <w:rPr>
          <w:b/>
          <w:sz w:val="28"/>
        </w:rPr>
        <w:t xml:space="preserve"> godinu</w:t>
      </w:r>
    </w:p>
    <w:p w:rsidR="00BE4310" w:rsidRDefault="00187925" w:rsidP="0005241A">
      <w:pPr>
        <w:rPr>
          <w:rFonts w:cs="Times New Roman"/>
        </w:rPr>
      </w:pPr>
      <w:r w:rsidRPr="00187925">
        <w:rPr>
          <w:rFonts w:cs="Times New Roman"/>
        </w:rPr>
        <w:t>Osnovna škola Ivana Gorana Kovačića Vinkovci, jedna je od sedam osnovnih škola u Vinkovcima. Škola obavlja djelatnost osnovnog obrazovanja kao javna ustanova.</w:t>
      </w:r>
      <w:r w:rsidR="00BE4310" w:rsidRPr="00DA3249">
        <w:rPr>
          <w:rFonts w:cs="Times New Roman"/>
        </w:rPr>
        <w:t xml:space="preserve"> Zadaća osnovnog školstva je osiguranje kontinuiranog razvoja učenika kao duhovnog, moralnog, tjelesnog, intelektualnog i društvenog bića u skladu s njegovim sklonostima i sposobnostima. </w:t>
      </w:r>
      <w:r w:rsidRPr="00187925">
        <w:rPr>
          <w:rFonts w:cs="Times New Roman"/>
        </w:rPr>
        <w:t>Zadaće i ciljevi osnovnog školstva ostvaruju se prema utvrđenim nastavnim planovima i programima, koji su sastavni dio Godišnjeg plana i programa rada Škole i školskog Kurikuluma.</w:t>
      </w:r>
      <w:r w:rsidR="001265B6">
        <w:rPr>
          <w:rFonts w:cs="Times New Roman"/>
        </w:rPr>
        <w:t xml:space="preserve"> </w:t>
      </w:r>
      <w:r w:rsidR="00D02D29">
        <w:rPr>
          <w:rFonts w:cs="Times New Roman"/>
        </w:rPr>
        <w:t xml:space="preserve">Cilj je podići kvalitetu nastave na veću razinu tako što se potiču usavršavanja učitelja i nastavnika škole. Također, nastoje se poboljšati radni uvjeti i prostor škole, ali i sportske dvorane. </w:t>
      </w:r>
      <w:r w:rsidRPr="00187925">
        <w:rPr>
          <w:rFonts w:cs="Times New Roman"/>
        </w:rPr>
        <w:t>Škola materijalne, tekuće i investicijske rashode financira iz proračuna jedinice lokalne i područne samouprave Grada Vinkovaca, te iz vlastitih prihoda, odnosno pružanjem usluge najma dvorane i školskog prostora.</w:t>
      </w:r>
    </w:p>
    <w:p w:rsidR="001B2E75" w:rsidRDefault="002F0860" w:rsidP="00C4575A">
      <w:pPr>
        <w:rPr>
          <w:rFonts w:cs="Times New Roman"/>
        </w:rPr>
      </w:pPr>
      <w:r>
        <w:rPr>
          <w:rFonts w:cs="Times New Roman"/>
        </w:rPr>
        <w:t>Financijski plan za 2025. godinu s projekcijama za 2026. i 2027</w:t>
      </w:r>
      <w:r w:rsidR="00BE4310">
        <w:rPr>
          <w:rFonts w:cs="Times New Roman"/>
        </w:rPr>
        <w:t xml:space="preserve">. godinu </w:t>
      </w:r>
      <w:r w:rsidR="00684E8F">
        <w:rPr>
          <w:rFonts w:cs="Times New Roman"/>
        </w:rPr>
        <w:t>usvojen</w:t>
      </w:r>
      <w:r>
        <w:rPr>
          <w:rFonts w:cs="Times New Roman"/>
        </w:rPr>
        <w:t xml:space="preserve"> je 17. prosinca 2024</w:t>
      </w:r>
      <w:r w:rsidR="00C4575A">
        <w:rPr>
          <w:rFonts w:cs="Times New Roman"/>
        </w:rPr>
        <w:t xml:space="preserve">. godine gdje su ukupno planirani prihodi i rashodi </w:t>
      </w:r>
      <w:r w:rsidR="00E16A2C">
        <w:rPr>
          <w:rFonts w:cs="Times New Roman"/>
        </w:rPr>
        <w:t xml:space="preserve">iznosili </w:t>
      </w:r>
      <w:r>
        <w:rPr>
          <w:rFonts w:cs="Times New Roman"/>
        </w:rPr>
        <w:t>2.097.931,00</w:t>
      </w:r>
      <w:r w:rsidR="00C4575A">
        <w:rPr>
          <w:rFonts w:cs="Times New Roman"/>
        </w:rPr>
        <w:t xml:space="preserve"> eura, </w:t>
      </w:r>
      <w:r w:rsidR="001B2E75">
        <w:rPr>
          <w:rFonts w:cs="Times New Roman"/>
        </w:rPr>
        <w:t xml:space="preserve">a tijekom godine su bile troje </w:t>
      </w:r>
      <w:r w:rsidR="00BE4310">
        <w:rPr>
          <w:rFonts w:cs="Times New Roman"/>
        </w:rPr>
        <w:t>Izmjene i dopune Fin</w:t>
      </w:r>
      <w:r>
        <w:rPr>
          <w:rFonts w:cs="Times New Roman"/>
        </w:rPr>
        <w:t>ancijskog plana za 2025</w:t>
      </w:r>
      <w:r w:rsidR="00C4575A">
        <w:rPr>
          <w:rFonts w:cs="Times New Roman"/>
        </w:rPr>
        <w:t xml:space="preserve">. godinu, tako da </w:t>
      </w:r>
      <w:r w:rsidR="001B2E75">
        <w:rPr>
          <w:rFonts w:cs="Times New Roman"/>
        </w:rPr>
        <w:t>su ukupni prihodi i rashodi planirani u iznosu od 2.244.749,75 eura.</w:t>
      </w:r>
    </w:p>
    <w:p w:rsidR="00023687" w:rsidRDefault="00023687" w:rsidP="007C4704">
      <w:pPr>
        <w:rPr>
          <w:b/>
        </w:rPr>
      </w:pPr>
      <w:r w:rsidRPr="00023687">
        <w:rPr>
          <w:b/>
        </w:rPr>
        <w:t>IZVJEŠTAJ O PRIHODIMA I RASHODIMA P</w:t>
      </w:r>
      <w:r>
        <w:rPr>
          <w:b/>
        </w:rPr>
        <w:t xml:space="preserve">REMA EKONOMSKOJ KLASIFIKACIJI </w:t>
      </w:r>
    </w:p>
    <w:p w:rsidR="007C4704" w:rsidRPr="001D40EA" w:rsidRDefault="006C63E1" w:rsidP="007C4704">
      <w:r>
        <w:t>Prema ekonomskoj klasifikaciji, u</w:t>
      </w:r>
      <w:r w:rsidR="00D02D29">
        <w:t xml:space="preserve"> razdoblju od</w:t>
      </w:r>
      <w:r w:rsidR="001B2E75">
        <w:t xml:space="preserve"> 01. siječnja do 31</w:t>
      </w:r>
      <w:r w:rsidR="001A7A80">
        <w:t xml:space="preserve">. </w:t>
      </w:r>
      <w:r w:rsidR="001B2E75">
        <w:t>prosinca</w:t>
      </w:r>
      <w:r w:rsidR="001A7A80">
        <w:t xml:space="preserve"> 2025</w:t>
      </w:r>
      <w:r w:rsidR="00D02D29">
        <w:t>. godine ukupno planirani prihodi ostvareni su u iznosu o</w:t>
      </w:r>
      <w:r>
        <w:t xml:space="preserve">d </w:t>
      </w:r>
      <w:r w:rsidR="001B2E75">
        <w:t>2.018.237,01</w:t>
      </w:r>
      <w:r>
        <w:t xml:space="preserve"> eura, </w:t>
      </w:r>
      <w:r w:rsidR="007D68E3">
        <w:t>što je za 9</w:t>
      </w:r>
      <w:r w:rsidR="001A7A80">
        <w:t xml:space="preserve">% više u odnosu na </w:t>
      </w:r>
      <w:r w:rsidR="007D68E3">
        <w:t xml:space="preserve">isto </w:t>
      </w:r>
      <w:r w:rsidR="001A7A80">
        <w:t>prethodno razdoblje.</w:t>
      </w:r>
      <w:r w:rsidR="007C4704" w:rsidRPr="007C4704">
        <w:t xml:space="preserve"> </w:t>
      </w:r>
      <w:r w:rsidR="005A5ED1">
        <w:t xml:space="preserve">Ukupni prihodi su ostvareni u visini 90% </w:t>
      </w:r>
      <w:r w:rsidR="00315411">
        <w:t>financijskog plana</w:t>
      </w:r>
      <w:r w:rsidR="005A5ED1">
        <w:t xml:space="preserve">. </w:t>
      </w:r>
      <w:r w:rsidR="001B2E75">
        <w:t>Pozicija 636 Pomoći proračunskim korisnicima iz proračuna</w:t>
      </w:r>
      <w:r w:rsidR="005A5ED1">
        <w:t xml:space="preserve"> koji im nije nadležan je za 7,</w:t>
      </w:r>
      <w:r w:rsidR="001B2E75">
        <w:t>9% veći u odnosu na prethodno razdoblje, a odnosi se na bruto plaće i naknade zaposlenicima te na prehranu učenika.</w:t>
      </w:r>
      <w:r w:rsidR="007D68E3">
        <w:t xml:space="preserve"> Pozicija 639 Prijenosi između proračunskih korisnika istog proračuna ukupno </w:t>
      </w:r>
      <w:r w:rsidR="005A5ED1">
        <w:t xml:space="preserve">je ostvareno 40.880,53 </w:t>
      </w:r>
      <w:r w:rsidR="005A5ED1">
        <w:lastRenderedPageBreak/>
        <w:t>eura što je za 26,9% više od prethodnog razdoblja, a odnosi se na plaće pomoćnika u nastavi i shemu školskog voća i mlijeka.</w:t>
      </w:r>
      <w:r w:rsidR="001D40EA">
        <w:t xml:space="preserve"> </w:t>
      </w:r>
      <w:r w:rsidR="007C4704">
        <w:t xml:space="preserve">Prihodi od pruženih usluga 6615 </w:t>
      </w:r>
      <w:r w:rsidR="005A5ED1">
        <w:t>su ostvareni u iznosu od 11.824,00 eura</w:t>
      </w:r>
      <w:r w:rsidR="007C4704">
        <w:t>, a odnose se na iznajmljivanje sportske dvorane te su znatno povećani u odnosu na prethodno razdoblje jer se prošle godine nije iznajmljivala sportska dvorana zbog provedbe adaptacije.</w:t>
      </w:r>
    </w:p>
    <w:p w:rsidR="005A5ED1" w:rsidRDefault="005A5ED1" w:rsidP="001A7A80">
      <w:r w:rsidRPr="005A5ED1">
        <w:t>Preneseni višak prihoda poslov</w:t>
      </w:r>
      <w:r>
        <w:t xml:space="preserve">anja </w:t>
      </w:r>
      <w:r w:rsidR="009E3D46">
        <w:t>u 2025. godini je iznosio</w:t>
      </w:r>
      <w:r>
        <w:t xml:space="preserve"> 44.495,27 eura i najveći udio se odnosio na provedbu </w:t>
      </w:r>
      <w:proofErr w:type="spellStart"/>
      <w:r>
        <w:t>Erasmus</w:t>
      </w:r>
      <w:proofErr w:type="spellEnd"/>
      <w:r>
        <w:t xml:space="preserve"> akreditacije, </w:t>
      </w:r>
      <w:r w:rsidRPr="005A5ED1">
        <w:t xml:space="preserve">ali je sukladno uputi iz Okružnice napravljena korekcija utvrđenog rezultata, odnosno korigirao se višak prihoda poslovanja u iznosu od 29.512,80 eura zbog primljenog predujma iz EU te se iskazala obveza za primljeni predujam, pa ovaj korigirani višak prihoda poslovanja </w:t>
      </w:r>
      <w:r w:rsidR="00223F13">
        <w:t>je iznosio</w:t>
      </w:r>
      <w:r w:rsidRPr="005A5ED1">
        <w:t xml:space="preserve"> 14.982,47 eura.</w:t>
      </w:r>
    </w:p>
    <w:p w:rsidR="00EE535F" w:rsidRDefault="001A7A80" w:rsidP="001A7A80">
      <w:r>
        <w:t>R</w:t>
      </w:r>
      <w:r w:rsidR="006C63E1">
        <w:t xml:space="preserve">ashodi razreda 3 </w:t>
      </w:r>
      <w:r w:rsidR="009E3D46">
        <w:t>ostvareni su u iznosu od</w:t>
      </w:r>
      <w:r w:rsidR="006C63E1">
        <w:t xml:space="preserve"> </w:t>
      </w:r>
      <w:r w:rsidR="009E3D46">
        <w:t>2.165.287,00</w:t>
      </w:r>
      <w:r w:rsidR="006C63E1">
        <w:t xml:space="preserve"> e</w:t>
      </w:r>
      <w:r>
        <w:t>ura, dok</w:t>
      </w:r>
      <w:r w:rsidR="006C63E1">
        <w:t xml:space="preserve"> </w:t>
      </w:r>
      <w:r w:rsidR="009E3D46">
        <w:t xml:space="preserve">su </w:t>
      </w:r>
      <w:r w:rsidR="006C63E1">
        <w:t xml:space="preserve">rashodi razreda 4 </w:t>
      </w:r>
      <w:r w:rsidR="009E3D46">
        <w:t xml:space="preserve">ostvareni u iznosu od 20.007,29 </w:t>
      </w:r>
      <w:r w:rsidR="006C63E1">
        <w:t xml:space="preserve">eura, te su tako ukupni rashodi </w:t>
      </w:r>
      <w:r w:rsidR="00D02D29">
        <w:t xml:space="preserve">realizirani u iznosu od </w:t>
      </w:r>
      <w:r w:rsidR="009E3D46">
        <w:t>2.185.294,29 eura što je za 17,35</w:t>
      </w:r>
      <w:r>
        <w:t>% veće u odnosu na prethodnu godinu.</w:t>
      </w:r>
      <w:r w:rsidR="007C4704">
        <w:t xml:space="preserve"> </w:t>
      </w:r>
      <w:r w:rsidR="008F72C2">
        <w:t>Ukupni r</w:t>
      </w:r>
      <w:r w:rsidR="00315411">
        <w:t>ashodi ostvareni su u visi 97,4</w:t>
      </w:r>
      <w:r w:rsidR="008F72C2">
        <w:t xml:space="preserve">% financijskog plana. </w:t>
      </w:r>
      <w:r w:rsidR="007C4704">
        <w:t xml:space="preserve">Bruto plaće su povećane za </w:t>
      </w:r>
      <w:r w:rsidR="00852A7C">
        <w:t>19,9</w:t>
      </w:r>
      <w:r w:rsidR="007C4704">
        <w:t>% u odnosu na prethodno razdoblje</w:t>
      </w:r>
      <w:r w:rsidR="007C4704" w:rsidRPr="007C4704">
        <w:t xml:space="preserve"> </w:t>
      </w:r>
      <w:r w:rsidR="007C4704">
        <w:t xml:space="preserve">zbog različitog knjiženja. Naime, ukidanjem kontinuiranih rashoda, </w:t>
      </w:r>
      <w:r w:rsidR="00684E8F">
        <w:t xml:space="preserve">u izvještaju je sada obuhvaćeno </w:t>
      </w:r>
      <w:r w:rsidR="00852A7C">
        <w:t>trinaest</w:t>
      </w:r>
      <w:r w:rsidR="00684E8F">
        <w:t xml:space="preserve"> plaća, </w:t>
      </w:r>
      <w:r w:rsidR="007C4704" w:rsidRPr="007C4704">
        <w:t>dok je u prethodnom</w:t>
      </w:r>
      <w:r w:rsidR="00852A7C">
        <w:t xml:space="preserve"> razdoblju</w:t>
      </w:r>
      <w:r w:rsidR="007C4704" w:rsidRPr="007C4704">
        <w:t xml:space="preserve"> bilo iskazano </w:t>
      </w:r>
      <w:r w:rsidR="00852A7C">
        <w:t>dvanaest</w:t>
      </w:r>
      <w:r w:rsidR="007C4704" w:rsidRPr="007C4704">
        <w:t xml:space="preserve"> plaća</w:t>
      </w:r>
      <w:r w:rsidR="007C4704">
        <w:t>.</w:t>
      </w:r>
      <w:r w:rsidR="00B62569">
        <w:t xml:space="preserve"> Ista stvar je i s energijom koja je veća za </w:t>
      </w:r>
      <w:r w:rsidR="00852A7C">
        <w:t>41,2</w:t>
      </w:r>
      <w:r w:rsidR="00B62569">
        <w:t>% u odnosu na prethodno razdoblje. Stručna usavršavanja</w:t>
      </w:r>
      <w:r w:rsidR="00B62569" w:rsidRPr="00B62569">
        <w:t xml:space="preserve"> su </w:t>
      </w:r>
      <w:r w:rsidR="00852A7C">
        <w:t>ostvarena u iznosu od 3.445,30 eura te su znatno manja</w:t>
      </w:r>
      <w:r w:rsidR="00B62569" w:rsidRPr="00B62569">
        <w:t xml:space="preserve"> u odnosu na </w:t>
      </w:r>
      <w:r w:rsidR="00852A7C">
        <w:t>2024. godinu</w:t>
      </w:r>
      <w:r w:rsidR="00B62569" w:rsidRPr="00B62569">
        <w:t xml:space="preserve">, jer su </w:t>
      </w:r>
      <w:r w:rsidR="00852A7C">
        <w:t>tada</w:t>
      </w:r>
      <w:r w:rsidR="00023687">
        <w:t xml:space="preserve"> učitelji sudjelovali u </w:t>
      </w:r>
      <w:proofErr w:type="spellStart"/>
      <w:r w:rsidR="00023687">
        <w:t>Erasmus</w:t>
      </w:r>
      <w:proofErr w:type="spellEnd"/>
      <w:r w:rsidR="00023687">
        <w:t xml:space="preserve"> mobilnosti</w:t>
      </w:r>
      <w:r w:rsidR="00B62569" w:rsidRPr="00B62569">
        <w:t xml:space="preserve"> preko akreditacije i preko projekta koji je i završio u prethodnoj godini.</w:t>
      </w:r>
      <w:r w:rsidR="00B62569">
        <w:t xml:space="preserve"> </w:t>
      </w:r>
      <w:r w:rsidR="00852A7C">
        <w:t xml:space="preserve">U 2025. godini naglasak je bio na sudjelovanju učenika u mobilnostima preko </w:t>
      </w:r>
      <w:proofErr w:type="spellStart"/>
      <w:r w:rsidR="00852A7C">
        <w:t>Erasmus</w:t>
      </w:r>
      <w:proofErr w:type="spellEnd"/>
      <w:r w:rsidR="00852A7C">
        <w:t xml:space="preserve"> akreditacije što i dokazuje pozicija 324 Naknade troškova osobama izvan radnog odnosa u iznosu od 12.517,48 eura.</w:t>
      </w:r>
      <w:r w:rsidR="00E246E9">
        <w:t xml:space="preserve"> </w:t>
      </w:r>
      <w:r w:rsidR="00EE535F" w:rsidRPr="00EE535F">
        <w:t xml:space="preserve">Rashodi za nabavu nefinancijske imovine, razreda 4 su povećani u odnosu na prethodnu godinu i iznose 20.007,29 eura, a najveći udio se odnosi na ugradnju novih ulaznih vrata i električne brave s </w:t>
      </w:r>
      <w:proofErr w:type="spellStart"/>
      <w:r w:rsidR="00EE535F" w:rsidRPr="00EE535F">
        <w:t>interfonom</w:t>
      </w:r>
      <w:proofErr w:type="spellEnd"/>
      <w:r w:rsidR="00EE535F" w:rsidRPr="00EE535F">
        <w:t xml:space="preserve"> radi provedbe sigurnosnih mjera i zaštite učenika i zaposlenika škole.</w:t>
      </w:r>
    </w:p>
    <w:p w:rsidR="00E246E9" w:rsidRDefault="00E246E9" w:rsidP="001A7A80">
      <w:r w:rsidRPr="00E246E9">
        <w:t>Manjak prihoda u ovoj godini ukupno iznosi 167.057,28 eura, ali budući da je škola prethodne godine imala višak prihoda poslovanja u iznosu od 14.982,47 eura, ukupan manjak prihoda u sljedećem razdoblju iznosi 152.074,81 eura. Ovdje svakako treba napomenuti da se navedeno dogodilo zbog ukidanja kontinuiranih rashoda i knjiženja trinaestih troškova u jednoj godini.</w:t>
      </w:r>
      <w:r w:rsidR="001D40EA">
        <w:t xml:space="preserve"> Manjak u iznosu od 142.827,19 eura iz državnog proračuna se odnosi na plaću za prosinac koja dospijeva u siječnju, te 8.400,28 eura iz državnog proračuna za prehranu učenika. Manjak iz decentraliziranih sredstava </w:t>
      </w:r>
      <w:r w:rsidR="001D40EA">
        <w:lastRenderedPageBreak/>
        <w:t>iznosi 6.307,89 eura, a odnosi se na režijske troškove za prosinac. Manjak za plaće pomoćnika u nastavi ukupno iznosi 3.357,60 eura. Višak prihoda poslovanja iz vlastitih izvora iznosi 7.418,07 eura, dok manjak prihoda od nefinancijske imovine iz vlastitih izvora iznosi 3.171,44 eura.</w:t>
      </w:r>
    </w:p>
    <w:p w:rsidR="00023687" w:rsidRDefault="00023687" w:rsidP="0005241A">
      <w:pPr>
        <w:rPr>
          <w:b/>
        </w:rPr>
      </w:pPr>
      <w:r w:rsidRPr="00023687">
        <w:rPr>
          <w:b/>
        </w:rPr>
        <w:t>IZVJEŠTAJ O PRIHODIMA I RASHOD</w:t>
      </w:r>
      <w:r>
        <w:rPr>
          <w:b/>
        </w:rPr>
        <w:t>IMA PREMA IZVORIMA FINANCIRANJA</w:t>
      </w:r>
    </w:p>
    <w:p w:rsidR="00C35C69" w:rsidRDefault="008F7F29" w:rsidP="0005241A">
      <w:r>
        <w:t xml:space="preserve">Prihodi iz izvora 1.1.2. </w:t>
      </w:r>
      <w:r w:rsidR="00832913">
        <w:t>Opći prihodi i primici</w:t>
      </w:r>
      <w:r>
        <w:t xml:space="preserve">  koji se odnose na plaće pomoćnika u nastavi iz gradskih izvora su povećani za 3% u odnosu na prethodno razdoblje, dok su rashodi za isti izvor povećani za 10,8%, iz razloga što je u rashodima knjižena plaća pomoćnika za prosinac, a prihod još nije priznat jer dospijeva u siječnju 2026. godine.</w:t>
      </w:r>
      <w:r w:rsidR="00223F13">
        <w:t xml:space="preserve"> Isto se odnosi i na izvore 5.1.3 i 5.8.3 gdje su osim pomoćnika u nastavi knjiženi i projekt shema školsko voće te prehrana učenika. </w:t>
      </w:r>
      <w:r w:rsidR="00832913">
        <w:t xml:space="preserve">Ukupni prihodi iz decentraliziranih sredstava iznose </w:t>
      </w:r>
      <w:r>
        <w:t>130.471,10 eura što je za 20% veće u odnosu na prijašnje razdoblje, ali do visine ukupno planiranih sredstava. U</w:t>
      </w:r>
      <w:r w:rsidR="00832913">
        <w:t xml:space="preserve">kupni rashodi </w:t>
      </w:r>
      <w:r>
        <w:t xml:space="preserve">iz decentraliziranih sredstava </w:t>
      </w:r>
      <w:r w:rsidR="00832913">
        <w:t xml:space="preserve">ostvareni </w:t>
      </w:r>
      <w:r>
        <w:t xml:space="preserve">su </w:t>
      </w:r>
      <w:r w:rsidR="00832913">
        <w:t xml:space="preserve">u iznosu od </w:t>
      </w:r>
      <w:r>
        <w:t xml:space="preserve">136.778,99 eura što je za 26,2% veće u odnosu na 2024. godinu, zbog veće spomenutih ukidanja kontinuiranih rashoda. Bitno je napomenuti da su rashodi ostvareni u visini 98,49% planiranih sredstava što znači da nije došlo do probijanja plana. </w:t>
      </w:r>
      <w:r w:rsidR="004D3D1D">
        <w:t xml:space="preserve">Sva primljena sredstva od Grada Vinkovaca su utrošena </w:t>
      </w:r>
      <w:r w:rsidR="00D624E5">
        <w:t>namjenski prema financi</w:t>
      </w:r>
      <w:r w:rsidR="009E627E">
        <w:t xml:space="preserve">jskom planu te su svaki mjesec </w:t>
      </w:r>
      <w:r w:rsidR="00D624E5">
        <w:t xml:space="preserve">pravdani u </w:t>
      </w:r>
      <w:r w:rsidR="00832913">
        <w:t>Odjelu društvenih djelatnosti</w:t>
      </w:r>
      <w:r w:rsidR="00C35C69">
        <w:t>. Prihod</w:t>
      </w:r>
      <w:r w:rsidR="006661B4">
        <w:t xml:space="preserve">i iz vlastitih izvora su povećani u odnosu na prethodno razdoblje </w:t>
      </w:r>
      <w:r w:rsidR="00C35C69">
        <w:t>zbog već spomenutog iznajmljivanja sportske dvorane.</w:t>
      </w:r>
    </w:p>
    <w:p w:rsidR="00023687" w:rsidRDefault="00023687" w:rsidP="0005241A">
      <w:pPr>
        <w:rPr>
          <w:b/>
        </w:rPr>
      </w:pPr>
      <w:r w:rsidRPr="00023687">
        <w:rPr>
          <w:b/>
        </w:rPr>
        <w:t>IZVJEŠTAJ O RASHODIMA PR</w:t>
      </w:r>
      <w:r>
        <w:rPr>
          <w:b/>
        </w:rPr>
        <w:t>EMA FUNKCIJSKOJ KLASIFIKACIJI</w:t>
      </w:r>
      <w:r>
        <w:rPr>
          <w:b/>
        </w:rPr>
        <w:tab/>
      </w:r>
      <w:r>
        <w:rPr>
          <w:b/>
        </w:rPr>
        <w:tab/>
      </w:r>
    </w:p>
    <w:p w:rsidR="00D11DBA" w:rsidRPr="00023687" w:rsidRDefault="00D11DBA" w:rsidP="0005241A">
      <w:pPr>
        <w:rPr>
          <w:b/>
        </w:rPr>
      </w:pPr>
      <w:r>
        <w:t xml:space="preserve">Prema funkcijskoj klasifikaciji, osnovno obrazovanje ukupno iznosi </w:t>
      </w:r>
      <w:r w:rsidR="00223F13">
        <w:t>2.185.294,29</w:t>
      </w:r>
      <w:r>
        <w:t xml:space="preserve"> eura.</w:t>
      </w:r>
    </w:p>
    <w:p w:rsidR="00023687" w:rsidRPr="00023687" w:rsidRDefault="00023687" w:rsidP="0005241A">
      <w:pPr>
        <w:rPr>
          <w:b/>
        </w:rPr>
      </w:pPr>
      <w:r w:rsidRPr="00023687">
        <w:rPr>
          <w:b/>
        </w:rPr>
        <w:t>IZVJEŠTAJ PO PROGRAMSKOJ KLASIFIKACIJI</w:t>
      </w:r>
      <w:r w:rsidRPr="00023687">
        <w:rPr>
          <w:b/>
        </w:rPr>
        <w:tab/>
      </w:r>
      <w:r w:rsidRPr="00023687">
        <w:rPr>
          <w:b/>
        </w:rPr>
        <w:tab/>
      </w:r>
      <w:r w:rsidRPr="00023687">
        <w:rPr>
          <w:b/>
        </w:rPr>
        <w:tab/>
      </w:r>
    </w:p>
    <w:p w:rsidR="00223F13" w:rsidRDefault="00E7337E" w:rsidP="00223F13">
      <w:r>
        <w:t xml:space="preserve">Prema programskoj klasifikaciji, </w:t>
      </w:r>
      <w:r w:rsidR="00D11DBA">
        <w:t xml:space="preserve">stručno, administrativno i tehničko osoblje ukupno iznosi </w:t>
      </w:r>
      <w:r w:rsidR="00223F13">
        <w:t>1.803.147,90</w:t>
      </w:r>
      <w:r w:rsidR="00D11DBA">
        <w:t xml:space="preserve"> eur</w:t>
      </w:r>
      <w:r w:rsidR="009E627E">
        <w:t>a, a odnosi se na bruto plaće, nagrade i</w:t>
      </w:r>
      <w:r w:rsidR="00223F13">
        <w:t xml:space="preserve"> naknade zaposlenicima škole</w:t>
      </w:r>
      <w:r w:rsidR="009E627E">
        <w:t>. Ovim se osiguravaju kadrovski uvjeti potrebni za rad škole.</w:t>
      </w:r>
      <w:r w:rsidR="00D11DBA">
        <w:t xml:space="preserve"> Tekuće i investicijsko održavanje ukupno iznosi </w:t>
      </w:r>
      <w:r w:rsidR="00223F13">
        <w:t>18.313,18</w:t>
      </w:r>
      <w:r w:rsidR="00D11DBA">
        <w:t xml:space="preserve"> eura, dok opći poslovi ukupno iznose </w:t>
      </w:r>
      <w:r w:rsidR="00223F13">
        <w:t>293.302,18</w:t>
      </w:r>
      <w:r w:rsidR="00C35C69">
        <w:t xml:space="preserve"> </w:t>
      </w:r>
      <w:r w:rsidR="00D11DBA">
        <w:t>eura</w:t>
      </w:r>
      <w:r w:rsidR="00E16A2C">
        <w:t xml:space="preserve">. </w:t>
      </w:r>
      <w:r w:rsidR="00D11DBA">
        <w:t>Navedena sredstva kori</w:t>
      </w:r>
      <w:r w:rsidR="00E16A2C">
        <w:t>ste se za pokriće troškova škole</w:t>
      </w:r>
      <w:r w:rsidR="00D11DBA">
        <w:t xml:space="preserve">, za energente škole, za prijevoz </w:t>
      </w:r>
      <w:r w:rsidR="00E16A2C">
        <w:t xml:space="preserve">i prehranu </w:t>
      </w:r>
      <w:r w:rsidR="00D11DBA">
        <w:t xml:space="preserve">učenika, </w:t>
      </w:r>
      <w:r w:rsidR="00E16A2C">
        <w:t xml:space="preserve">za stručno </w:t>
      </w:r>
      <w:r w:rsidR="001D383B">
        <w:t>usavršavanje</w:t>
      </w:r>
      <w:r w:rsidR="00D11DBA">
        <w:t xml:space="preserve"> djelatnika te za nabavku nastavnih sredstava i pomagala, te za tekuće i investicijsko održavanje škole i opreme. Time se omogućavaju i ostvaruju infrastrukturni uvjeti za rad i razvoj djelatnosti osnovnog obrazovanja.</w:t>
      </w:r>
      <w:r w:rsidR="00E16A2C">
        <w:t xml:space="preserve"> Kapitalno ulaganje </w:t>
      </w:r>
      <w:r w:rsidR="00223F13">
        <w:t>ostvareno je u iznosu od</w:t>
      </w:r>
      <w:r w:rsidR="00E16A2C">
        <w:t xml:space="preserve"> </w:t>
      </w:r>
      <w:r w:rsidR="00223F13">
        <w:t>20.007,29</w:t>
      </w:r>
      <w:r w:rsidR="00E16A2C">
        <w:t xml:space="preserve"> eura, a odnosi se na ulaganje u </w:t>
      </w:r>
      <w:r w:rsidR="00E16A2C">
        <w:lastRenderedPageBreak/>
        <w:t>dugotrajnu materijalnu imovinu za potrebe nabavke novih računa</w:t>
      </w:r>
      <w:r w:rsidR="00D624E5">
        <w:t>la</w:t>
      </w:r>
      <w:r w:rsidR="00E16A2C">
        <w:t>, interaktivnih ekrana, namještaja i ostalog radi poboljšanja radnih uvj</w:t>
      </w:r>
      <w:r w:rsidR="00223F13">
        <w:t>eta i prostora školovanja djece, a u 2025. godini ugrađena su nova ulazna vrata i električna brava</w:t>
      </w:r>
      <w:r w:rsidR="00223F13" w:rsidRPr="00EE535F">
        <w:t xml:space="preserve"> s </w:t>
      </w:r>
      <w:proofErr w:type="spellStart"/>
      <w:r w:rsidR="00223F13" w:rsidRPr="00EE535F">
        <w:t>interfonom</w:t>
      </w:r>
      <w:proofErr w:type="spellEnd"/>
      <w:r w:rsidR="00223F13" w:rsidRPr="00EE535F">
        <w:t xml:space="preserve"> radi provedbe sigurnosnih mjera i zaštite učenika i zaposlenika škole.</w:t>
      </w:r>
    </w:p>
    <w:p w:rsidR="00315411" w:rsidRDefault="00E16A2C" w:rsidP="0005241A">
      <w:r>
        <w:t>Projekt Pomoćnici u nasta</w:t>
      </w:r>
      <w:r w:rsidR="009E627E">
        <w:t xml:space="preserve">vi </w:t>
      </w:r>
      <w:r w:rsidR="00223F13">
        <w:t xml:space="preserve">su realizirani u iznosu od 45.183,16 eura </w:t>
      </w:r>
      <w:r w:rsidR="009E627E">
        <w:t xml:space="preserve">kojima se nastoji pružiti pomoć učenicima prilikom nastavnog procesa s </w:t>
      </w:r>
      <w:r w:rsidR="00E833C0">
        <w:t xml:space="preserve">tendencijom osamostaljivanja i </w:t>
      </w:r>
      <w:r w:rsidR="001D383B">
        <w:t>sudjelovanja</w:t>
      </w:r>
      <w:r w:rsidR="00E833C0">
        <w:t xml:space="preserve"> u školskoj sredini. Projekt</w:t>
      </w:r>
      <w:r>
        <w:t xml:space="preserve"> Shema šk</w:t>
      </w:r>
      <w:r w:rsidR="00E833C0">
        <w:t xml:space="preserve">olsko voće i mlijeko iznosi </w:t>
      </w:r>
      <w:r w:rsidR="00223F13">
        <w:t>5.168,58</w:t>
      </w:r>
      <w:r w:rsidR="00E833C0">
        <w:t xml:space="preserve"> eura čiji cilj je podizanje svijesti o važnosti zdrave prehrane kod djece, te povećanje unosa svježeg voća i mlijeka </w:t>
      </w:r>
      <w:r w:rsidR="00223F13">
        <w:t>u svakodnevnoj prehrani učenika.</w:t>
      </w:r>
    </w:p>
    <w:p w:rsidR="00223F13" w:rsidRPr="00315411" w:rsidRDefault="00315411" w:rsidP="0005241A">
      <w:r>
        <w:rPr>
          <w:b/>
        </w:rPr>
        <w:t>SREDST</w:t>
      </w:r>
      <w:r w:rsidR="00223F13" w:rsidRPr="00094760">
        <w:rPr>
          <w:b/>
        </w:rPr>
        <w:t xml:space="preserve">VA </w:t>
      </w:r>
      <w:r>
        <w:rPr>
          <w:b/>
        </w:rPr>
        <w:t xml:space="preserve">IZ </w:t>
      </w:r>
      <w:r w:rsidR="00223F13" w:rsidRPr="00094760">
        <w:rPr>
          <w:b/>
        </w:rPr>
        <w:t>EU</w:t>
      </w:r>
    </w:p>
    <w:p w:rsidR="00223F13" w:rsidRDefault="00223F13" w:rsidP="00223F13">
      <w:r>
        <w:t xml:space="preserve">Škola je u 2025. godini potpisala Ugovor s AMPEU o dodijeljenim bespovratnim sredstvima u iznosu od 41.575,00 eura, a koji se vode u </w:t>
      </w:r>
      <w:proofErr w:type="spellStart"/>
      <w:r>
        <w:t>izvanbilančnim</w:t>
      </w:r>
      <w:proofErr w:type="spellEnd"/>
      <w:r>
        <w:t xml:space="preserve"> zapisima. Škola je primila predujam u iznosu od 33.260,00 eura koji se vode na </w:t>
      </w:r>
      <w:r w:rsidR="000F6F8E">
        <w:t xml:space="preserve">obvezama za primljeni predujam. </w:t>
      </w:r>
      <w:r>
        <w:t>Ukupni troškovi te iste akreditacije dosada iznose 8.568,68 eura, te su obračunati troškovi i potraživanje za pr</w:t>
      </w:r>
      <w:r w:rsidR="000F6F8E">
        <w:t>ihode na 16 i 96 u istom iznosu. Iako je škola dobila predujam, prihod se priznaje tek kad se podnese Završno izvješće pa je ovdje iskazan manjak u visini troškova u iznosu od 8.568,68 eura.</w:t>
      </w:r>
    </w:p>
    <w:p w:rsidR="00223F13" w:rsidRDefault="00223F13" w:rsidP="00223F13">
      <w:r>
        <w:t>Škola je dobila i 2024. godine predujam koji se u 2025. godinu prenio kao višak prihoda poslovanja, te je sukladno Okružnici napravljena korekcija utvrđenog rezultata, odnosno korigirao se višak prihoda poslovanja te se iskazala obveza za primljeni predujam u 2025. godini u iznosu od 29.512,80 eura. Budući da je u 2025. godini podneseno i Završno izvješće te smo primili i završnu isplatu, priznao se i prihod.</w:t>
      </w:r>
    </w:p>
    <w:p w:rsidR="0005241A" w:rsidRDefault="0005241A" w:rsidP="0005241A">
      <w:pPr>
        <w:jc w:val="right"/>
        <w:rPr>
          <w:rFonts w:cs="Times New Roman"/>
        </w:rPr>
      </w:pPr>
      <w:r>
        <w:rPr>
          <w:rFonts w:cs="Times New Roman"/>
        </w:rPr>
        <w:t>Ravnatelj:</w:t>
      </w:r>
    </w:p>
    <w:p w:rsidR="0005241A" w:rsidRDefault="0005241A" w:rsidP="0005241A">
      <w:pPr>
        <w:jc w:val="right"/>
        <w:rPr>
          <w:rFonts w:cs="Times New Roman"/>
        </w:rPr>
      </w:pPr>
      <w:r>
        <w:rPr>
          <w:rFonts w:cs="Times New Roman"/>
        </w:rPr>
        <w:t>dr.sc. Mario Lovrić</w:t>
      </w:r>
    </w:p>
    <w:p w:rsidR="00ED4411" w:rsidRPr="00543899" w:rsidRDefault="00ED4411" w:rsidP="00543899">
      <w:pPr>
        <w:rPr>
          <w:b/>
        </w:rPr>
      </w:pPr>
    </w:p>
    <w:sectPr w:rsidR="00ED4411" w:rsidRPr="00543899" w:rsidSect="00A470FE">
      <w:headerReference w:type="default" r:id="rId8"/>
      <w:pgSz w:w="11900" w:h="16840" w:code="9"/>
      <w:pgMar w:top="964" w:right="1134" w:bottom="964" w:left="1134" w:header="720" w:footer="720" w:gutter="0"/>
      <w:paperSrc w:first="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C5A" w:rsidRDefault="00982C5A" w:rsidP="00A470FE">
      <w:pPr>
        <w:spacing w:after="0" w:line="240" w:lineRule="auto"/>
      </w:pPr>
      <w:r>
        <w:separator/>
      </w:r>
    </w:p>
  </w:endnote>
  <w:endnote w:type="continuationSeparator" w:id="0">
    <w:p w:rsidR="00982C5A" w:rsidRDefault="00982C5A" w:rsidP="00A47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C5A" w:rsidRDefault="00982C5A" w:rsidP="00A470FE">
      <w:pPr>
        <w:spacing w:after="0" w:line="240" w:lineRule="auto"/>
      </w:pPr>
      <w:r>
        <w:separator/>
      </w:r>
    </w:p>
  </w:footnote>
  <w:footnote w:type="continuationSeparator" w:id="0">
    <w:p w:rsidR="00982C5A" w:rsidRDefault="00982C5A" w:rsidP="00A47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0FE" w:rsidRDefault="00ED4411" w:rsidP="00A470FE">
    <w:pPr>
      <w:pStyle w:val="Zaglavlje"/>
      <w:jc w:val="right"/>
    </w:pPr>
    <w:r>
      <w:rPr>
        <w:rFonts w:cs="Times New Roman"/>
        <w:noProof/>
        <w:color w:val="339966"/>
        <w:szCs w:val="16"/>
        <w:lang w:eastAsia="hr-H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4528185</wp:posOffset>
          </wp:positionH>
          <wp:positionV relativeFrom="paragraph">
            <wp:posOffset>-457200</wp:posOffset>
          </wp:positionV>
          <wp:extent cx="1800225" cy="1800225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80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470FE" w:rsidRPr="00DB1114" w:rsidRDefault="00A470FE" w:rsidP="00993F1C">
    <w:pPr>
      <w:pStyle w:val="Zaglavlje"/>
      <w:spacing w:line="276" w:lineRule="auto"/>
      <w:rPr>
        <w:rStyle w:val="Jakoisticanje"/>
        <w:color w:val="000000" w:themeColor="text1"/>
      </w:rPr>
    </w:pPr>
    <w:r w:rsidRPr="00DB1114">
      <w:rPr>
        <w:rStyle w:val="Jakoisticanje"/>
        <w:rFonts w:ascii="Vivaldi" w:hAnsi="Vivaldi"/>
        <w:b/>
        <w:i w:val="0"/>
        <w:color w:val="000000" w:themeColor="text1"/>
        <w:sz w:val="44"/>
      </w:rPr>
      <w:t>Osnovna škola Ivana Gorana Kova</w:t>
    </w:r>
    <w:r w:rsidRPr="00DB1114">
      <w:rPr>
        <w:rStyle w:val="Jakoisticanje"/>
        <w:rFonts w:ascii="Cambria" w:hAnsi="Cambria" w:cs="Cambria"/>
        <w:i w:val="0"/>
        <w:color w:val="000000" w:themeColor="text1"/>
        <w:sz w:val="44"/>
      </w:rPr>
      <w:t>č</w:t>
    </w:r>
    <w:r w:rsidRPr="00DB1114">
      <w:rPr>
        <w:rStyle w:val="Jakoisticanje"/>
        <w:rFonts w:ascii="Vivaldi" w:hAnsi="Vivaldi"/>
        <w:b/>
        <w:i w:val="0"/>
        <w:color w:val="000000" w:themeColor="text1"/>
        <w:sz w:val="44"/>
      </w:rPr>
      <w:t>i</w:t>
    </w:r>
    <w:r w:rsidRPr="00DB1114">
      <w:rPr>
        <w:rStyle w:val="Jakoisticanje"/>
        <w:rFonts w:ascii="Cambria" w:hAnsi="Cambria" w:cs="Cambria"/>
        <w:i w:val="0"/>
        <w:color w:val="000000" w:themeColor="text1"/>
        <w:sz w:val="44"/>
      </w:rPr>
      <w:t>ć</w:t>
    </w:r>
    <w:r w:rsidRPr="00DB1114">
      <w:rPr>
        <w:rStyle w:val="Jakoisticanje"/>
        <w:rFonts w:ascii="Vivaldi" w:hAnsi="Vivaldi"/>
        <w:b/>
        <w:i w:val="0"/>
        <w:color w:val="000000" w:themeColor="text1"/>
        <w:sz w:val="44"/>
      </w:rPr>
      <w:t xml:space="preserve">a </w:t>
    </w:r>
  </w:p>
  <w:p w:rsidR="00A470FE" w:rsidRPr="00DB1114" w:rsidRDefault="00A470FE" w:rsidP="00993F1C">
    <w:pPr>
      <w:spacing w:after="0" w:line="276" w:lineRule="auto"/>
      <w:jc w:val="left"/>
      <w:rPr>
        <w:rStyle w:val="Jakoisticanje"/>
        <w:i w:val="0"/>
        <w:color w:val="000000" w:themeColor="text1"/>
      </w:rPr>
    </w:pPr>
    <w:r w:rsidRPr="00DB1114">
      <w:rPr>
        <w:rStyle w:val="Jakoisticanje"/>
        <w:i w:val="0"/>
        <w:color w:val="000000" w:themeColor="text1"/>
      </w:rPr>
      <w:t xml:space="preserve">Hrvatskih žrtava 11, 32100 Vinkovci </w:t>
    </w:r>
    <w:r w:rsidRPr="00DB1114">
      <w:rPr>
        <w:rStyle w:val="Jakoisticanje"/>
        <w:i w:val="0"/>
        <w:color w:val="000000" w:themeColor="text1"/>
      </w:rPr>
      <w:tab/>
    </w:r>
    <w:r w:rsidRPr="00DB1114">
      <w:rPr>
        <w:rStyle w:val="Jakoisticanje"/>
        <w:i w:val="0"/>
        <w:color w:val="000000" w:themeColor="text1"/>
      </w:rPr>
      <w:tab/>
    </w:r>
    <w:r w:rsidRPr="00DB1114">
      <w:rPr>
        <w:rStyle w:val="Jakoisticanje"/>
        <w:i w:val="0"/>
        <w:color w:val="000000" w:themeColor="text1"/>
      </w:rPr>
      <w:tab/>
    </w:r>
    <w:r w:rsidRPr="00DB1114">
      <w:rPr>
        <w:rStyle w:val="Jakoisticanje"/>
        <w:i w:val="0"/>
        <w:color w:val="000000" w:themeColor="text1"/>
      </w:rPr>
      <w:tab/>
      <w:t xml:space="preserve">                                            </w:t>
    </w:r>
  </w:p>
  <w:p w:rsidR="00A470FE" w:rsidRPr="00DB1114" w:rsidRDefault="00A470FE" w:rsidP="00993F1C">
    <w:pPr>
      <w:spacing w:after="0" w:line="276" w:lineRule="auto"/>
      <w:rPr>
        <w:rStyle w:val="Jakoisticanje"/>
        <w:i w:val="0"/>
        <w:color w:val="000000" w:themeColor="text1"/>
      </w:rPr>
    </w:pPr>
    <w:r w:rsidRPr="00DB1114">
      <w:rPr>
        <w:rStyle w:val="Jakoisticanje"/>
        <w:i w:val="0"/>
        <w:color w:val="000000" w:themeColor="text1"/>
      </w:rPr>
      <w:t>www.os-igkovacica-vk.skole.hr</w:t>
    </w:r>
  </w:p>
  <w:p w:rsidR="00A470FE" w:rsidRPr="00DB1114" w:rsidRDefault="00982C5A" w:rsidP="00993F1C">
    <w:pPr>
      <w:pStyle w:val="Zaglavlje"/>
      <w:spacing w:line="276" w:lineRule="auto"/>
      <w:rPr>
        <w:rStyle w:val="Jakoisticanje"/>
        <w:i w:val="0"/>
        <w:color w:val="000000" w:themeColor="text1"/>
      </w:rPr>
    </w:pPr>
    <w:hyperlink r:id="rId2" w:history="1">
      <w:r w:rsidR="00A470FE" w:rsidRPr="00DB1114">
        <w:rPr>
          <w:rStyle w:val="Jakoisticanje"/>
          <w:i w:val="0"/>
          <w:color w:val="000000" w:themeColor="text1"/>
        </w:rPr>
        <w:t>ured@os-igkovacica-vk.skole.hr</w:t>
      </w:r>
    </w:hyperlink>
  </w:p>
  <w:p w:rsidR="00A470FE" w:rsidRPr="00DB1114" w:rsidRDefault="00A470FE" w:rsidP="00993F1C">
    <w:pPr>
      <w:spacing w:after="0" w:line="276" w:lineRule="auto"/>
      <w:rPr>
        <w:rFonts w:cs="Times New Roman"/>
        <w:i/>
        <w:color w:val="000000" w:themeColor="text1"/>
        <w:szCs w:val="16"/>
      </w:rPr>
    </w:pPr>
    <w:r w:rsidRPr="00DB1114">
      <w:rPr>
        <w:rStyle w:val="Jakoisticanje"/>
        <w:i w:val="0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252299F" wp14:editId="75136C3C">
              <wp:simplePos x="0" y="0"/>
              <wp:positionH relativeFrom="margin">
                <wp:align>center</wp:align>
              </wp:positionH>
              <wp:positionV relativeFrom="margin">
                <wp:posOffset>-160655</wp:posOffset>
              </wp:positionV>
              <wp:extent cx="6881495" cy="17780"/>
              <wp:effectExtent l="0" t="0" r="33655" b="20320"/>
              <wp:wrapNone/>
              <wp:docPr id="3" name="Ravni povez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81495" cy="1778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918C8F" id="Ravni poveznik 3" o:spid="_x0000_s1026" style="position:absolute;flip:y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" from="0,-12.65pt" to="541.85pt,-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" strokecolor="#375623 [1609]" strokeweight=".5pt">
              <v:stroke joinstyle="miter"/>
              <w10:wrap anchorx="margin" anchory="margin"/>
            </v:line>
          </w:pict>
        </mc:Fallback>
      </mc:AlternateContent>
    </w:r>
    <w:r w:rsidRPr="00DB1114">
      <w:rPr>
        <w:rStyle w:val="Jakoisticanje"/>
        <w:i w:val="0"/>
        <w:color w:val="000000" w:themeColor="text1"/>
      </w:rPr>
      <w:t>Tel.:032/332-309</w:t>
    </w:r>
  </w:p>
  <w:p w:rsidR="00A470FE" w:rsidRPr="00A470FE" w:rsidRDefault="00A470FE">
    <w:pPr>
      <w:pStyle w:val="Zaglavlje"/>
      <w:rPr>
        <w:rFonts w:ascii="Vivaldi" w:hAnsi="Vivald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F7FA1"/>
    <w:multiLevelType w:val="hybridMultilevel"/>
    <w:tmpl w:val="0172BC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C06EB"/>
    <w:multiLevelType w:val="hybridMultilevel"/>
    <w:tmpl w:val="3A203A86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816D4"/>
    <w:multiLevelType w:val="hybridMultilevel"/>
    <w:tmpl w:val="E4DEBB26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A032A"/>
    <w:multiLevelType w:val="hybridMultilevel"/>
    <w:tmpl w:val="11C4DBAA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B3E6E"/>
    <w:multiLevelType w:val="hybridMultilevel"/>
    <w:tmpl w:val="230A7D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9233A"/>
    <w:multiLevelType w:val="hybridMultilevel"/>
    <w:tmpl w:val="3E8E3FA0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0FE"/>
    <w:rsid w:val="000026FF"/>
    <w:rsid w:val="000058A1"/>
    <w:rsid w:val="0002141E"/>
    <w:rsid w:val="00023687"/>
    <w:rsid w:val="00041025"/>
    <w:rsid w:val="0005241A"/>
    <w:rsid w:val="00094760"/>
    <w:rsid w:val="000A737A"/>
    <w:rsid w:val="000F4651"/>
    <w:rsid w:val="000F6F8E"/>
    <w:rsid w:val="001265B6"/>
    <w:rsid w:val="001371C3"/>
    <w:rsid w:val="001418C0"/>
    <w:rsid w:val="00172346"/>
    <w:rsid w:val="00187925"/>
    <w:rsid w:val="001950AE"/>
    <w:rsid w:val="001A7A80"/>
    <w:rsid w:val="001B2E75"/>
    <w:rsid w:val="001D383B"/>
    <w:rsid w:val="001D40EA"/>
    <w:rsid w:val="001E2FE7"/>
    <w:rsid w:val="001F16FE"/>
    <w:rsid w:val="001F51F7"/>
    <w:rsid w:val="00205F01"/>
    <w:rsid w:val="00207D72"/>
    <w:rsid w:val="00212B03"/>
    <w:rsid w:val="00223F13"/>
    <w:rsid w:val="002D6B23"/>
    <w:rsid w:val="002E21F5"/>
    <w:rsid w:val="002F0860"/>
    <w:rsid w:val="00315411"/>
    <w:rsid w:val="0032457B"/>
    <w:rsid w:val="00327B65"/>
    <w:rsid w:val="00366976"/>
    <w:rsid w:val="0036755E"/>
    <w:rsid w:val="00374490"/>
    <w:rsid w:val="003D106E"/>
    <w:rsid w:val="003D69B4"/>
    <w:rsid w:val="003F3F7A"/>
    <w:rsid w:val="00400922"/>
    <w:rsid w:val="00444363"/>
    <w:rsid w:val="00445446"/>
    <w:rsid w:val="00461247"/>
    <w:rsid w:val="004B10D3"/>
    <w:rsid w:val="004D3D1D"/>
    <w:rsid w:val="00506146"/>
    <w:rsid w:val="00543899"/>
    <w:rsid w:val="005765B3"/>
    <w:rsid w:val="005A4718"/>
    <w:rsid w:val="005A5ED1"/>
    <w:rsid w:val="00600A33"/>
    <w:rsid w:val="0060258E"/>
    <w:rsid w:val="00631CCC"/>
    <w:rsid w:val="0064054B"/>
    <w:rsid w:val="006661B4"/>
    <w:rsid w:val="00675F1C"/>
    <w:rsid w:val="00684E8F"/>
    <w:rsid w:val="006A5FC4"/>
    <w:rsid w:val="006C63E1"/>
    <w:rsid w:val="006D6F17"/>
    <w:rsid w:val="006F1C11"/>
    <w:rsid w:val="006F7DEC"/>
    <w:rsid w:val="00716E8D"/>
    <w:rsid w:val="00766F27"/>
    <w:rsid w:val="00797FCC"/>
    <w:rsid w:val="007C0287"/>
    <w:rsid w:val="007C4704"/>
    <w:rsid w:val="007D328E"/>
    <w:rsid w:val="007D4F09"/>
    <w:rsid w:val="007D68E3"/>
    <w:rsid w:val="00802005"/>
    <w:rsid w:val="00817DD2"/>
    <w:rsid w:val="00832913"/>
    <w:rsid w:val="00852A7C"/>
    <w:rsid w:val="008728A9"/>
    <w:rsid w:val="008F2E6C"/>
    <w:rsid w:val="008F72C2"/>
    <w:rsid w:val="008F7F29"/>
    <w:rsid w:val="00982C5A"/>
    <w:rsid w:val="00993F1C"/>
    <w:rsid w:val="009E20AA"/>
    <w:rsid w:val="009E3D46"/>
    <w:rsid w:val="009E5C13"/>
    <w:rsid w:val="009E627E"/>
    <w:rsid w:val="009F2F53"/>
    <w:rsid w:val="00A257E5"/>
    <w:rsid w:val="00A470FE"/>
    <w:rsid w:val="00A47F87"/>
    <w:rsid w:val="00A62221"/>
    <w:rsid w:val="00A869B5"/>
    <w:rsid w:val="00B05849"/>
    <w:rsid w:val="00B50CE2"/>
    <w:rsid w:val="00B62569"/>
    <w:rsid w:val="00B774D8"/>
    <w:rsid w:val="00BA4B09"/>
    <w:rsid w:val="00BA6D28"/>
    <w:rsid w:val="00BE4310"/>
    <w:rsid w:val="00C30FC6"/>
    <w:rsid w:val="00C35C69"/>
    <w:rsid w:val="00C4575A"/>
    <w:rsid w:val="00C61DC1"/>
    <w:rsid w:val="00C92BD5"/>
    <w:rsid w:val="00D02D29"/>
    <w:rsid w:val="00D108A5"/>
    <w:rsid w:val="00D11DBA"/>
    <w:rsid w:val="00D624E5"/>
    <w:rsid w:val="00DA2758"/>
    <w:rsid w:val="00DA6EA0"/>
    <w:rsid w:val="00DB1114"/>
    <w:rsid w:val="00DC2D3B"/>
    <w:rsid w:val="00DD0512"/>
    <w:rsid w:val="00DF0FF3"/>
    <w:rsid w:val="00E024A9"/>
    <w:rsid w:val="00E16A2C"/>
    <w:rsid w:val="00E246E9"/>
    <w:rsid w:val="00E43275"/>
    <w:rsid w:val="00E7337E"/>
    <w:rsid w:val="00E833C0"/>
    <w:rsid w:val="00EA378F"/>
    <w:rsid w:val="00ED4411"/>
    <w:rsid w:val="00EE535F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9F115"/>
  <w15:chartTrackingRefBased/>
  <w15:docId w15:val="{29BBBB4E-F6CE-44B0-83EE-44191D70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41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7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70FE"/>
  </w:style>
  <w:style w:type="paragraph" w:styleId="Podnoje">
    <w:name w:val="footer"/>
    <w:basedOn w:val="Normal"/>
    <w:link w:val="PodnojeChar"/>
    <w:uiPriority w:val="99"/>
    <w:unhideWhenUsed/>
    <w:rsid w:val="00A47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70FE"/>
  </w:style>
  <w:style w:type="character" w:styleId="Hiperveza">
    <w:name w:val="Hyperlink"/>
    <w:basedOn w:val="Zadanifontodlomka"/>
    <w:uiPriority w:val="99"/>
    <w:unhideWhenUsed/>
    <w:rsid w:val="00A470FE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02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2005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0584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B1114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red@os-igkovacica-vk.skole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9A77D-C79B-435C-8C40-047A351BC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4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36</cp:revision>
  <cp:lastPrinted>2023-07-10T06:02:00Z</cp:lastPrinted>
  <dcterms:created xsi:type="dcterms:W3CDTF">2021-07-11T14:01:00Z</dcterms:created>
  <dcterms:modified xsi:type="dcterms:W3CDTF">2026-03-06T07:32:00Z</dcterms:modified>
</cp:coreProperties>
</file>