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C4BA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C4BAC" w:rsidRDefault="00AC6953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8C4BAC" w:rsidRDefault="00AC6953">
            <w:pPr>
              <w:spacing w:after="0" w:line="240" w:lineRule="auto"/>
            </w:pPr>
            <w:r>
              <w:t>10055</w:t>
            </w:r>
          </w:p>
        </w:tc>
      </w:tr>
      <w:tr w:rsidR="008C4BA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C4BAC" w:rsidRDefault="00AC6953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8C4BAC" w:rsidRDefault="00AC6953">
            <w:pPr>
              <w:spacing w:after="0" w:line="240" w:lineRule="auto"/>
            </w:pPr>
            <w:r>
              <w:t>OSNOVNA ŠKOLA IVANA GORANA KOVAČIĆA</w:t>
            </w:r>
          </w:p>
        </w:tc>
      </w:tr>
      <w:tr w:rsidR="008C4BAC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8C4BAC" w:rsidRDefault="00AC6953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8C4BAC" w:rsidRDefault="00AC6953">
            <w:pPr>
              <w:spacing w:after="0" w:line="240" w:lineRule="auto"/>
            </w:pPr>
            <w:r>
              <w:t>31</w:t>
            </w:r>
          </w:p>
        </w:tc>
      </w:tr>
    </w:tbl>
    <w:p w:rsidR="009A3D17" w:rsidRDefault="00AC6953" w:rsidP="009A3D17">
      <w:pPr>
        <w:spacing w:line="240" w:lineRule="auto"/>
      </w:pPr>
      <w:r>
        <w:br/>
      </w:r>
      <w:r w:rsidR="009A3D17">
        <w:t>KLASA: 400-04/26-01/1</w:t>
      </w:r>
    </w:p>
    <w:p w:rsidR="009A3D17" w:rsidRDefault="009A3D17" w:rsidP="009A3D17">
      <w:pPr>
        <w:spacing w:line="240" w:lineRule="auto"/>
      </w:pPr>
      <w:r>
        <w:t>URBROJ: 2196-4-5-26-3-1</w:t>
      </w:r>
    </w:p>
    <w:p w:rsidR="009A3D17" w:rsidRDefault="009A3D17" w:rsidP="009A3D17">
      <w:pPr>
        <w:spacing w:line="240" w:lineRule="auto"/>
      </w:pPr>
      <w:r>
        <w:br/>
        <w:t>U Vinkovcima, 30.1.2026.</w:t>
      </w:r>
    </w:p>
    <w:p w:rsidR="008C4BAC" w:rsidRDefault="00AC6953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8C4BAC" w:rsidRDefault="00AC6953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8C4BAC" w:rsidRDefault="00AC6953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1.851.443,44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2.018.237,01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1.848.079,21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2.165.287,00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147.049,99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14.148,88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14.148,88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20.007,29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141,4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10.784,65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167.057,28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1549,0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 xml:space="preserve">Osnovna škola Ivana Gorana Kovačića u Vinkovcima, jedna je od sedam osnovnih škola u Vinkovcima. Škola obavlja djelatnost osnovnog obrazovanja kao javna ustanova. Zadaće i ciljevi osnovnog školstva ostvaruju se prema utvrđenim nastavnim planovima i programima, </w:t>
      </w:r>
      <w:r>
        <w:lastRenderedPageBreak/>
        <w:t>koji su sastavni dio Godišnjeg plana i programa rada Škole i školskog Kurikuluma. Odgojno-obrazovni rad ostvaruje se u dvije smjene, u 24 razredna odjela. U ovoj školskoj godini 2025./2026. imamo 403 učenika. U školi je zaposleno 64 djelatnika. Stručni tim škole čine stručni suradnici: pedagog, psiholog, defektolog i knjižničar. Upisno područje naše Škole je poprilično raspršeno pa tako pojedini učenici imaju udaljenost od kuće do škole veću od tri kilometara.  </w:t>
      </w:r>
    </w:p>
    <w:p w:rsidR="008C4BAC" w:rsidRDefault="00AC6953" w:rsidP="009A3D17">
      <w:pPr>
        <w:spacing w:line="276" w:lineRule="auto"/>
        <w:jc w:val="both"/>
      </w:pPr>
      <w:r>
        <w:t xml:space="preserve">Provođenjem školskih preventivnih programa tijekom odgojno-obrazovnog procesa ima za cilj osposobiti što više mladih da se tijekom odrastanja, a posebno adolescencije što uspješnije odupru pritiscima društva i vlastitoj znatiželji koristeći vlastito </w:t>
      </w:r>
      <w:proofErr w:type="spellStart"/>
      <w:r>
        <w:t>samozaštitno</w:t>
      </w:r>
      <w:proofErr w:type="spellEnd"/>
      <w:r>
        <w:t xml:space="preserve"> reagiranje u izazovnim životnim situacijama. Škola nastoji poboljšati kvalitetu nastave poticanjem usavršavanja učitelja i nastavnika škole, ali i poboljšanjem radnog okruženja i to uređenjem i opremanjem učionica. Učenike se potiče da sudjeluju u natjecanjima, projektima te </w:t>
      </w:r>
      <w:proofErr w:type="spellStart"/>
      <w:r>
        <w:t>erasmus</w:t>
      </w:r>
      <w:proofErr w:type="spellEnd"/>
      <w:r>
        <w:t xml:space="preserve"> mobilnostima radi stjecanja raznih vještina.</w:t>
      </w:r>
    </w:p>
    <w:p w:rsidR="008C4BAC" w:rsidRDefault="00AC6953" w:rsidP="009A3D17">
      <w:pPr>
        <w:spacing w:line="276" w:lineRule="auto"/>
        <w:jc w:val="both"/>
      </w:pPr>
      <w:r>
        <w:t>Škola materijalne, tekuće i investicijske rashode financira iz proračuna jedinice lokalne i područne samouprave Grada Vinkovaca, te iz vlastitih prihoda, odnosno pružanjem usluge najma dvorane i školskog prostora.  </w:t>
      </w:r>
    </w:p>
    <w:p w:rsidR="0062537B" w:rsidRDefault="0062537B" w:rsidP="009A3D17">
      <w:pPr>
        <w:spacing w:line="276" w:lineRule="auto"/>
        <w:jc w:val="both"/>
      </w:pP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1.851.443,44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2.018.237,01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109,0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Ukupni prihodi poslovanja povećani su za 9% u odnosu na prethodnu proračunsku godinu i iznose 2.018.237,01 eura, a najveći udio odnosi se na tekuće pomoći iz državnog proračuna koji su povećani za 7,9% i ukupno iznose 1.783.553,04 eura, od kojih se 97.308,12 eura odnosi na prehranu učenika, a ostatak na bruto plaće zaposlenika. 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34.852,55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35.716,88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102,5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 xml:space="preserve">Pozicija 638 Pomoći temeljem prijenosa EU sredstava iznosi 35.716,88 eura koji je škola dobila za završeni </w:t>
      </w:r>
      <w:proofErr w:type="spellStart"/>
      <w:r>
        <w:t>Erasmus</w:t>
      </w:r>
      <w:proofErr w:type="spellEnd"/>
      <w:r>
        <w:t xml:space="preserve"> projekt.</w:t>
      </w:r>
    </w:p>
    <w:p w:rsidR="008C4BAC" w:rsidRDefault="008C4BAC" w:rsidP="009A3D17">
      <w:pPr>
        <w:spacing w:line="276" w:lineRule="auto"/>
      </w:pP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32.225,76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40.880,53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Prijenosi između proračunskih korisnika istog proračuna na 639 su povećani za 26,9% i iznose 40.880,53 eura, a odnose se na projekte Pomoćnici u nastavi, Vrijeme užine i Shema školsko voće i mlijeko.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1.447,93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245,8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Pozicija 6526 Ostali nespomenuti prihodi se odnosi na naknadu štete od osiguranja u iznosu od 1.447,93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5.174,08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228,5</w:t>
            </w:r>
          </w:p>
        </w:tc>
      </w:tr>
    </w:tbl>
    <w:p w:rsidR="008C4BAC" w:rsidRDefault="008C4BAC">
      <w:pPr>
        <w:spacing w:after="0"/>
      </w:pPr>
    </w:p>
    <w:p w:rsidR="008C4BAC" w:rsidRDefault="00AC6953" w:rsidP="0062537B">
      <w:pPr>
        <w:spacing w:line="276" w:lineRule="auto"/>
        <w:jc w:val="both"/>
      </w:pPr>
      <w:r>
        <w:t>Prihodi od pruženih usluga na 661 su povećani u odnosu na prethodnu godinu i iznose 11.824,00 eura, iz razloga što se prošle godine sportska dvorana adaptirala te se nije mogla iznajmljivati.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114.429,00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136.714,71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:rsidR="008C4BAC" w:rsidRDefault="008C4BAC">
      <w:pPr>
        <w:spacing w:after="0"/>
      </w:pPr>
    </w:p>
    <w:p w:rsidR="008C4BAC" w:rsidRDefault="00AC6953" w:rsidP="0062537B">
      <w:pPr>
        <w:spacing w:line="276" w:lineRule="auto"/>
        <w:jc w:val="both"/>
      </w:pPr>
      <w:r>
        <w:t xml:space="preserve">Prihodi iz nadležnog proračuna Grada Vinkovaca ukupno su povećani za 19,5% i iznose 136.714,71 eura, od kojih se 12.831,56 eura odnosi na prihode iz nadležnog proračuna za nabavu nefinancijske imovine za ugradnju novih ulaznih vrata i električne brave s </w:t>
      </w:r>
      <w:proofErr w:type="spellStart"/>
      <w:r>
        <w:t>interfonom</w:t>
      </w:r>
      <w:proofErr w:type="spellEnd"/>
      <w:r>
        <w:t xml:space="preserve"> radi provedbe sigurnosnih mjera i zaštite učenika i zaposlenika škole.</w:t>
      </w:r>
      <w:bookmarkStart w:id="0" w:name="_GoBack"/>
      <w:bookmarkEnd w:id="0"/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1.848.079,21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2.165.287,00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Ukupni rashodi poslovanja čine rashodi razreda 3 koji su povećani za 17,2% u odnosu na prethodno razdoblje i iznose 2.165.287,00 eura, a najvećim dijelom odnose se na rashode za zaposlene u iznosu od 1.824.577,72 eura. Navedeno povećanje se dogodilo zbog ukidanja kontinuiranih rashoda.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1.273.485,29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1.527.474,74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119,9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Pozicija 311 Plaće je porasla za 19,9% u odnosu na prethodnu godinu zbog različitog knjiženja u odnosu na prethodno razdoblje. Naime, ukidanjem kontinuiranih rashoda, ovaj izvještaj je obuhvatio 13 plaća, dok je u prethodnom bilo iskazano 12 plaća.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51.637,61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62.429,87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120,9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Rashodi za materijal i energiju su za 20,9% veći u odnosu na prethodno razdoblje zbog ukidanja kontinuiranih rashoda.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2.245,32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12.517,48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557,5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 xml:space="preserve">Naknade troškova osobama izvan radnog odnosa se odnosi na učeničke mobilnosti preko </w:t>
      </w:r>
      <w:proofErr w:type="spellStart"/>
      <w:r>
        <w:t>erasmus</w:t>
      </w:r>
      <w:proofErr w:type="spellEnd"/>
      <w:r>
        <w:t xml:space="preserve"> akreditacije, koji su ove godine više sudjelovali u odnosu na prethodno razdoblje.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2.435,88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9021,8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Od ove godine se sukladno uputi iz Okružnice, knjižila mjesečna HRT pristojba koja u prethodnoj godini nije bila iskazana na ovoj poziciji.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1.348,71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70,8</w:t>
            </w:r>
          </w:p>
        </w:tc>
      </w:tr>
    </w:tbl>
    <w:p w:rsidR="008C4BAC" w:rsidRDefault="008C4BAC">
      <w:pPr>
        <w:spacing w:after="0"/>
      </w:pPr>
    </w:p>
    <w:p w:rsidR="008C4BAC" w:rsidRDefault="00AC6953">
      <w:r>
        <w:t>Navedeni trošak se odnosi na nabavku menstrualnih higijenskih potrepština.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147.049,99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Budući da su ukupni rashodi poslovanja veći od ukupno ostvarenih prihoda, bilježi se manjak prihoda poslovanja u iznosu od 147.049,99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preneseni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55.279,92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14.982,47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27,1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Preneseni višak prihoda poslovanja iznosio je 44.495,27 eura, ali je sukladno uputi iz Okružnice napravljena korekcija utvrđenog rezultata, odnosno korigirao se višak prihoda poslovanja u iznosu od 29.512,80 eura zbog primljenog predujma iz EU te se iskazala obveza za primljeni predujam, pa ovaj korigirani višak prihoda poslovanja sada iznosi 14.982,47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1.155,13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169.818,67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Obračunati prihodi poslovanja na poziciji 96 se odnosi na knjiženje potraživanja za plaću i naknade za prosinac, za prehranu učenika za prosinac i za dobivene projekte iz MZOM-a u ukupnom iznosu od 161.210,17 eura, obračunati prihodi temeljem prijenosa EU sredstava iznose 8.568,68 eura, dok obračunati, a nenaplaćeni prihodi poslovanja za najam prostora škole iznose 39,82 eura.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14.148,88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20.007,29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141,4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 xml:space="preserve">Rashodi za nabavu nefinancijske imovine, razreda 4 su povećani u odnosu na prethodnu godinu i iznose 20.007,29 eura, a najveći udio se odnosi na ugradnju novih ulaznih vrata i električne brave s </w:t>
      </w:r>
      <w:proofErr w:type="spellStart"/>
      <w:r>
        <w:t>interfonom</w:t>
      </w:r>
      <w:proofErr w:type="spellEnd"/>
      <w:r>
        <w:t xml:space="preserve"> radi provedbe sigurnosnih mjera i zaštite učenika i zaposlenika škole.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152.074,81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Manjak prihoda u ovoj godini ukupno iznosi 167.057,28 eura, ali budući da je škola prethodne godine imala višak prihoda poslovanja u iznosu od 14.982,47 eura, ukupan manjak prihoda u sljedećem razdoblju iznosi 152.074,81 eura. Ovdje svakako treba napomenuti da se navedeno dogodilo zbog ukidanja kontinuiranih rashoda i knjiženja trinaestih troškova u jednoj godini.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novčanih sredstava na kraju izvještajnog razdoblja (šifre 11P + 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44.495,27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Stanje novčanih sredstava na kraju izvještajnog razdoblja iznosi 0,00 eura budući da je škola krajem godine zatvorila svoj poslovni račun zbog prelaska na sustav pune riznice Grada Vinkovaca, te su i sva novčana sredstva uplaćena na žiroračun osnivača - Grada Vinkovaca.</w:t>
      </w:r>
    </w:p>
    <w:p w:rsidR="008C4BAC" w:rsidRDefault="00AC6953">
      <w:r>
        <w:t> </w:t>
      </w:r>
    </w:p>
    <w:p w:rsidR="008C4BAC" w:rsidRDefault="00AC6953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IMOVINA (šifre 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1.682.839,93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1.683.815,37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100,1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Stanje imovine na dan 1.1.2025. godine iznosi 1.682.839,93 eura, dok na datum 31.12.2025. stanje imovine iznosi 1.683.815,37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  <w:r>
              <w:rPr>
                <w:sz w:val="18"/>
              </w:rPr>
              <w:t xml:space="preserve"> u upotrebi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102.120,76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107.795,53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</w:t>
            </w:r>
          </w:p>
        </w:tc>
      </w:tr>
    </w:tbl>
    <w:p w:rsidR="008C4BAC" w:rsidRDefault="008C4BAC">
      <w:pPr>
        <w:spacing w:after="0"/>
      </w:pPr>
    </w:p>
    <w:p w:rsidR="008C4BAC" w:rsidRDefault="00AC6953">
      <w:r>
        <w:t>Stanje sitnog inventara na dan 31.12.2025. godine iznosi 107.795,53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Financijska imovina (šifre 11+12+13+14+15+16+17+19)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179.296,22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214.280,75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:rsidR="008C4BAC" w:rsidRDefault="008C4BAC">
      <w:pPr>
        <w:spacing w:after="0"/>
      </w:pPr>
    </w:p>
    <w:p w:rsidR="008C4BAC" w:rsidRDefault="00AC6953">
      <w:r>
        <w:t>Financijska imovina je povećana za 19,5% i iznosi 214.280,75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>, od zaposlenih te za više plaćene poreze i ostalo (šifre 122 do 124 - 125 + 129)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11.031,78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 xml:space="preserve">Potraživanja od zaposlenih iznose 8.516,10 eura, a odnose se na isplatu predujma za </w:t>
      </w:r>
      <w:proofErr w:type="spellStart"/>
      <w:r>
        <w:t>Erasmus</w:t>
      </w:r>
      <w:proofErr w:type="spellEnd"/>
      <w:r>
        <w:t xml:space="preserve"> putovanje, dok potraživanje od HZZO-a za bolovanja iznosi 2.107,60 eura. </w:t>
      </w:r>
    </w:p>
    <w:p w:rsidR="008C4BAC" w:rsidRDefault="00AC6953">
      <w:r>
        <w:t> </w:t>
      </w:r>
    </w:p>
    <w:p w:rsidR="008C4BAC" w:rsidRDefault="00AC6953">
      <w:r>
        <w:t> 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133.645,82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196.536,89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147,1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Obveze na dan 1.1.2025. godine iznose 133.645,82 eura, dok su na dan 31.12.2025. godine 196.536,89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44.495,27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-152.074,81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-341,8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Manjak prihoda u ovoj godini ukupno iznosi 167.057,28 eura, ali budući da je škola prethodne godine imala višak prihoda poslovanja u iznosu od 14.982,47 eura, ukupan manjak prihoda u sljedećem razdoblju iznosi 152.074,81 eura. Ovdje svakako treba napomenuti da se navedeno dogodilo zbog ukidanja kontinuiranih rashoda i knjiženja trinaestih troškova u jednoj godini.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 - aktiva (šifra 996)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41.575,00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 xml:space="preserve">Škola je u 2025. godini potpisala Ugovor s AMPEU o dodijeljenim bespovratnim sredstvima u iznosu od 41.575,00 eura, a koji se vode u </w:t>
      </w:r>
      <w:proofErr w:type="spellStart"/>
      <w:r>
        <w:t>izvanbilančnim</w:t>
      </w:r>
      <w:proofErr w:type="spellEnd"/>
      <w:r>
        <w:t xml:space="preserve"> zapisima. 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783,29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203.248,97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Navedeno se najvećim dijelom odnosi</w:t>
      </w:r>
      <w:r w:rsidR="009A3D17">
        <w:t xml:space="preserve"> na potraživanje za plaće i nak</w:t>
      </w:r>
      <w:r>
        <w:t>n</w:t>
      </w:r>
      <w:r w:rsidR="009A3D17">
        <w:t>a</w:t>
      </w:r>
      <w:r>
        <w:t>de zaposlenika koji još nisu dospjeli, nego dospijevaju u siječnju 2026. godine, te sredstva koja su evidentirana na 16721 u iznosu od 33.430,30 eura, a koja su uplaćena u nadležni proračun radi prelaska na punu riznicu.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poslovanja - ispravci iz prethodnih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29.512,80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Škola je dobila u 2024. godine predujam koji se u 2025. godinu prenio kao višak prihoda poslovanja, te je sukladno Okružnici napravljena korekcija utvrđenog rezultata, odnosno korigirao se višak prihoda poslovanja te se iskazala obveza za primljeni predujam u 2025. godini u iznosu od 29.512,80 eura, a navedeno je imalo pozitivan učinak na rezultat tekuće godine, odnosno nastao je manji manjak prihoda.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1.862.228,09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2.185.294,29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117,3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Ukupni rashodi poslovanja u 2025. godini povećani su za 17,3% u odnosu na prethodnu godinu te iznose 2.185.294,29 eura. U obrascu RAS-funkcijski potrebno je odvojiti sredstava koja su se potrošila na osnovno obrazovanje i sredstva koja se odnose na dodatne usluge u obrazovanju.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137.245,95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144.204,64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105,1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 xml:space="preserve">Dodatne usluge u obrazovanju se odnose na prehranu i prijevoz učenika te sredstva za provedbu Sheme školskog voća i mlijeka i </w:t>
      </w:r>
      <w:r w:rsidR="009A3D17">
        <w:t>Mednog dana u iznosu od 144.204</w:t>
      </w:r>
      <w:r>
        <w:t>,64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51.054,54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Novi Pravilnik uvodi knjiženje ispravka vrijednosti dugotrajne nefinancijske imovine preko podskupine 915 promjene u vrijednosti imovine za 51.054,54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133.645,82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C4BAC" w:rsidRDefault="008C4BAC">
      <w:pPr>
        <w:spacing w:after="0"/>
      </w:pPr>
    </w:p>
    <w:p w:rsidR="008C4BAC" w:rsidRDefault="00AC6953">
      <w:r>
        <w:t>Stanje obveza na dan 1.1.2025. godine iznosi 133.645,82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196.536,89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C4BAC" w:rsidRDefault="008C4BAC">
      <w:pPr>
        <w:spacing w:after="0"/>
      </w:pPr>
    </w:p>
    <w:p w:rsidR="008C4BAC" w:rsidRDefault="00AC6953">
      <w:r>
        <w:t>Stanje obveza na kraju izvještajnog razdoblja iznosi 196.536,89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C4BAC" w:rsidRDefault="008C4BAC">
      <w:pPr>
        <w:spacing w:after="0"/>
      </w:pPr>
    </w:p>
    <w:p w:rsidR="008C4BAC" w:rsidRDefault="00AC6953">
      <w:r>
        <w:t>Stanje dospjelih obveza na kraju izvještajnog razdoblja iznosi 0,00 eura.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C4BAC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C4BAC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8C4BA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196.536,89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8C4BAC" w:rsidRDefault="00AC6953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8C4BAC" w:rsidRDefault="008C4BAC">
      <w:pPr>
        <w:spacing w:after="0"/>
      </w:pPr>
    </w:p>
    <w:p w:rsidR="008C4BAC" w:rsidRDefault="00AC6953" w:rsidP="009A3D17">
      <w:pPr>
        <w:spacing w:line="276" w:lineRule="auto"/>
        <w:jc w:val="both"/>
      </w:pPr>
      <w:r>
        <w:t>Stanje nedospjelih obveza na kraju izvještajnog razdoblja iznosi 196.536,89 eura.</w:t>
      </w:r>
    </w:p>
    <w:p w:rsidR="008C4BAC" w:rsidRDefault="00AC6953" w:rsidP="009A3D17">
      <w:pPr>
        <w:spacing w:line="276" w:lineRule="auto"/>
        <w:jc w:val="both"/>
      </w:pPr>
      <w:r>
        <w:t>Međusobne obveze subjekata općeg proračuna iznose 1.371,83 eura, a odnose se na naknadu za bolovanje koje će refundirati HZZO,  iznos od 161.905,06 eura se odnosi na bruto plaće zaposlenika i režijske troškove koji dospijevaju u siječnju 2026. godine, dok se iznos od 33.260,00 eura odnosi na obveze za primljene predujmove iz EU sredstava.</w:t>
      </w:r>
    </w:p>
    <w:p w:rsidR="008C4BAC" w:rsidRDefault="008C4BAC"/>
    <w:p w:rsidR="008C4BAC" w:rsidRDefault="00AC6953">
      <w:pPr>
        <w:keepNext/>
        <w:spacing w:line="240" w:lineRule="auto"/>
        <w:jc w:val="center"/>
      </w:pPr>
      <w:r>
        <w:rPr>
          <w:sz w:val="28"/>
        </w:rPr>
        <w:t>Bilješka 36.</w:t>
      </w:r>
    </w:p>
    <w:p w:rsidR="008C4BAC" w:rsidRDefault="00AC6953" w:rsidP="009A3D17">
      <w:pPr>
        <w:spacing w:line="360" w:lineRule="auto"/>
        <w:jc w:val="both"/>
      </w:pPr>
      <w:r>
        <w:rPr>
          <w:b/>
        </w:rPr>
        <w:t>EU izvještaj</w:t>
      </w:r>
    </w:p>
    <w:p w:rsidR="008C4BAC" w:rsidRDefault="00AC6953" w:rsidP="009A3D17">
      <w:pPr>
        <w:spacing w:line="276" w:lineRule="auto"/>
        <w:jc w:val="both"/>
      </w:pPr>
      <w:r>
        <w:t xml:space="preserve">U EU izvještaju prikazani su </w:t>
      </w:r>
      <w:proofErr w:type="spellStart"/>
      <w:r>
        <w:t>Erasmus</w:t>
      </w:r>
      <w:proofErr w:type="spellEnd"/>
      <w:r>
        <w:t xml:space="preserve"> projekti i akreditacija. Škola je u 2025. godini potpisala Ugovor s AMPEU o dodijeljenim bespovratnim sredstvima u iznosu od 41.575,00 eura, a koji se vode u </w:t>
      </w:r>
      <w:proofErr w:type="spellStart"/>
      <w:r>
        <w:t>izvanbilančnim</w:t>
      </w:r>
      <w:proofErr w:type="spellEnd"/>
      <w:r>
        <w:t xml:space="preserve"> zapisima. Škola je primila predujam u iznosu od 33.260,00 eura koji se vode na obvezama za primljeni predujam. Ukupni troškovi te iste akreditacije dosada iznose 8.568,68 eura, te su obračunati troškovi i potraživanje za prihode na 16 i 96 u istom iznosu.</w:t>
      </w:r>
    </w:p>
    <w:p w:rsidR="008C4BAC" w:rsidRDefault="00AC6953" w:rsidP="009A3D17">
      <w:pPr>
        <w:spacing w:line="276" w:lineRule="auto"/>
        <w:jc w:val="both"/>
      </w:pPr>
      <w:r>
        <w:t>Škola je dobila i 2024. godine predujam koji se u 2025. godinu prenio kao višak prihoda poslovanja, te je sukladno Okružnici napravljena korekcija utvrđenog rezultata, odnosno korigirao se višak prihoda poslovanja te se iskazala obveza za primljeni predujam u 2025. godini u iznosu od 29.512,80 eura. Budući da je u 2025. godini podneseno i Završno izvješće te smo primili i završnu isplatu, priznao se i prihod.</w:t>
      </w:r>
    </w:p>
    <w:p w:rsidR="00B060DB" w:rsidRDefault="009A3D17" w:rsidP="009A3D17">
      <w:pPr>
        <w:spacing w:line="276" w:lineRule="auto"/>
        <w:ind w:left="7080"/>
        <w:jc w:val="both"/>
      </w:pPr>
      <w:r>
        <w:t xml:space="preserve">         </w:t>
      </w:r>
    </w:p>
    <w:p w:rsidR="009A3D17" w:rsidRDefault="00B060DB" w:rsidP="009A3D17">
      <w:pPr>
        <w:spacing w:line="276" w:lineRule="auto"/>
        <w:ind w:left="7080"/>
        <w:jc w:val="both"/>
      </w:pPr>
      <w:r>
        <w:t xml:space="preserve">         </w:t>
      </w:r>
      <w:r w:rsidR="009A3D17">
        <w:t>Ravnatelj</w:t>
      </w:r>
    </w:p>
    <w:p w:rsidR="009A3D17" w:rsidRDefault="009A3D17" w:rsidP="009A3D17">
      <w:pPr>
        <w:spacing w:line="276" w:lineRule="auto"/>
        <w:jc w:val="right"/>
      </w:pPr>
      <w:r>
        <w:t>dr.sc. Mario Lovrić</w:t>
      </w:r>
    </w:p>
    <w:p w:rsidR="008C4BAC" w:rsidRDefault="008C4BAC"/>
    <w:sectPr w:rsidR="008C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BAC"/>
    <w:rsid w:val="0062537B"/>
    <w:rsid w:val="008C4BAC"/>
    <w:rsid w:val="009A3D17"/>
    <w:rsid w:val="00AC6953"/>
    <w:rsid w:val="00B060DB"/>
    <w:rsid w:val="00F8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D401"/>
  <w15:docId w15:val="{F2FBFE27-757F-48A7-9D69-CA0C9448C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2805</Words>
  <Characters>15989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5</cp:revision>
  <dcterms:created xsi:type="dcterms:W3CDTF">2026-01-30T14:37:00Z</dcterms:created>
  <dcterms:modified xsi:type="dcterms:W3CDTF">2026-02-02T13:21:00Z</dcterms:modified>
</cp:coreProperties>
</file>