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1031ED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1031ED" w:rsidRDefault="004B4BDE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1031ED" w:rsidRDefault="004B4BDE">
            <w:pPr>
              <w:spacing w:after="0" w:line="240" w:lineRule="auto"/>
            </w:pPr>
            <w:r>
              <w:t>10055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1031ED" w:rsidRDefault="004B4BDE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1031ED" w:rsidRDefault="004B4BDE">
            <w:pPr>
              <w:spacing w:after="0" w:line="240" w:lineRule="auto"/>
            </w:pPr>
            <w:r>
              <w:t>OSNOVNA ŠKOLA IVANA GORANA KOVAČIĆA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1031ED" w:rsidRDefault="004B4BDE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1031ED" w:rsidRDefault="004B4BDE">
            <w:pPr>
              <w:spacing w:after="0" w:line="240" w:lineRule="auto"/>
            </w:pPr>
            <w:r>
              <w:t>31</w:t>
            </w:r>
          </w:p>
        </w:tc>
      </w:tr>
    </w:tbl>
    <w:p w:rsidR="001031ED" w:rsidRDefault="004B4BDE">
      <w:r>
        <w:br/>
      </w:r>
      <w:r w:rsidR="00921957">
        <w:t>KLASA: 400-04/25-01/1</w:t>
      </w:r>
    </w:p>
    <w:p w:rsidR="00921957" w:rsidRDefault="00921957">
      <w:r>
        <w:t>URBROJ: 2196-4-5-01-25-4</w:t>
      </w:r>
    </w:p>
    <w:p w:rsidR="00921957" w:rsidRDefault="00921957">
      <w:r>
        <w:t>U Vinkovcima, 9. srpnja 2025. godine</w:t>
      </w:r>
    </w:p>
    <w:p w:rsidR="00921957" w:rsidRDefault="00921957">
      <w:pPr>
        <w:spacing w:line="240" w:lineRule="auto"/>
        <w:jc w:val="center"/>
        <w:rPr>
          <w:b/>
          <w:sz w:val="28"/>
        </w:rPr>
      </w:pPr>
    </w:p>
    <w:p w:rsidR="001031ED" w:rsidRDefault="004B4BDE" w:rsidP="00921957">
      <w:pPr>
        <w:spacing w:line="240" w:lineRule="auto"/>
        <w:jc w:val="center"/>
      </w:pPr>
      <w:r>
        <w:rPr>
          <w:b/>
          <w:sz w:val="28"/>
        </w:rPr>
        <w:t>BILJEŠKE UZ FINANCIJSKE IZVJEŠTAJE</w:t>
      </w:r>
      <w:r w:rsidR="00921957">
        <w:t xml:space="preserve"> </w:t>
      </w:r>
      <w:r>
        <w:rPr>
          <w:b/>
          <w:sz w:val="28"/>
        </w:rPr>
        <w:t>ZA RAZDOBLJE</w:t>
      </w:r>
    </w:p>
    <w:p w:rsidR="001031ED" w:rsidRDefault="004B4BDE" w:rsidP="00921957">
      <w:pPr>
        <w:spacing w:line="240" w:lineRule="auto"/>
        <w:jc w:val="center"/>
      </w:pPr>
      <w:r>
        <w:rPr>
          <w:b/>
          <w:sz w:val="28"/>
        </w:rPr>
        <w:t>I</w:t>
      </w:r>
      <w:r w:rsidR="0092195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921957">
        <w:rPr>
          <w:b/>
          <w:sz w:val="28"/>
        </w:rPr>
        <w:t>–</w:t>
      </w:r>
      <w:r>
        <w:rPr>
          <w:b/>
          <w:sz w:val="28"/>
        </w:rPr>
        <w:t xml:space="preserve"> VI</w:t>
      </w:r>
      <w:r w:rsidR="00921957">
        <w:rPr>
          <w:b/>
          <w:sz w:val="28"/>
        </w:rPr>
        <w:t>.</w:t>
      </w:r>
      <w:r>
        <w:rPr>
          <w:b/>
          <w:sz w:val="28"/>
        </w:rPr>
        <w:t xml:space="preserve"> 2025.</w:t>
      </w:r>
    </w:p>
    <w:p w:rsidR="001031ED" w:rsidRDefault="001031ED"/>
    <w:p w:rsidR="00921957" w:rsidRDefault="00921957" w:rsidP="00921957">
      <w:pPr>
        <w:spacing w:line="360" w:lineRule="auto"/>
        <w:jc w:val="both"/>
      </w:pPr>
      <w:r w:rsidRPr="00921957">
        <w:t xml:space="preserve">Osnovna škola Ivana Gorana Kovačića u Vinkovcima, jedna je od sedam osnovnih škola u Vinkovcima. Škola obavlja djelatnost osnovnog obrazovanja kao javna ustanova. Zadaće i ciljevi osnovnog školstva ostvaruju se prema utvrđenim nastavnim planovima i programima, koji su sastavni dio Godišnjeg plana i programa rada Škole i školskog Kurikuluma. </w:t>
      </w:r>
    </w:p>
    <w:p w:rsidR="00921957" w:rsidRDefault="00921957" w:rsidP="00921957">
      <w:pPr>
        <w:spacing w:line="360" w:lineRule="auto"/>
        <w:jc w:val="both"/>
      </w:pPr>
      <w:r w:rsidRPr="00921957">
        <w:t xml:space="preserve">Odgojno-obrazovni rad ostvaruje se u dvije smjene, u 24 razredna odjela. U ovoj školskoj godini 2024./2025. imali smo 423 učenika. U školi je zaposleno 59 djelatnika. Stručni tim škole čine stručni suradnici: pedagog, psiholog, defektolog i knjižničar. Upisno područje naše Škole je poprilično raspršeno pa tako pojedini učenici imaju udaljenost od kuće do škole veću od tri kilometara.  </w:t>
      </w:r>
    </w:p>
    <w:p w:rsidR="00921957" w:rsidRDefault="00921957" w:rsidP="00921957">
      <w:pPr>
        <w:spacing w:line="360" w:lineRule="auto"/>
        <w:jc w:val="both"/>
      </w:pPr>
      <w:r>
        <w:t>Š</w:t>
      </w:r>
      <w:r w:rsidRPr="00921957">
        <w:t>kola materijalne, tekuće i investicijske rashode financira iz proračuna jedinice lokalne i područne samouprave Grada Vinkovaca, dijelom iz Vukovarsko-srijemske županije te iz vlastitih prihoda, odnosno pružanjem usluge najma dvorane i školskog prostora.</w:t>
      </w:r>
    </w:p>
    <w:p w:rsidR="001031ED" w:rsidRDefault="004B4BDE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prihodima i rashodima, primicima i izdacima</w:t>
      </w:r>
    </w:p>
    <w:p w:rsidR="001031ED" w:rsidRDefault="004B4BDE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877.747,43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980.362,49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111,7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909.255,40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1.139.121,86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125,3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1031E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31.507,97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158.759,37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503,9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10.991,35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16.646,45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151,5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1031E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10.991,35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16.646,45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151,5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1031E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1031E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42.499,32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175.405,82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412,7</w:t>
            </w:r>
          </w:p>
        </w:tc>
      </w:tr>
    </w:tbl>
    <w:p w:rsidR="001031ED" w:rsidRDefault="001031ED">
      <w:pPr>
        <w:spacing w:after="0"/>
      </w:pPr>
    </w:p>
    <w:p w:rsidR="001031ED" w:rsidRDefault="004B4BDE">
      <w:r>
        <w:br/>
      </w:r>
    </w:p>
    <w:p w:rsidR="001031ED" w:rsidRDefault="004B4BDE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</w:t>
            </w:r>
            <w:r>
              <w:rPr>
                <w:b/>
                <w:sz w:val="18"/>
              </w:rPr>
              <w:t xml:space="preserve">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877.747,43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980.362,49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111,7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 xml:space="preserve">Ukupni prihodi poslovanja povećani su za 11,7% u odnosu na prethodnu proračunsku </w:t>
      </w:r>
      <w:r>
        <w:t>godinu i iznose 980.362,49 eura, a najveći udio odnosi se na prihod MZO</w:t>
      </w:r>
      <w:r w:rsidR="00921957">
        <w:t xml:space="preserve">M-a u iznosu od 871.705,50 eura, koji se </w:t>
      </w:r>
      <w:r>
        <w:t xml:space="preserve">odnosi na </w:t>
      </w:r>
      <w:r>
        <w:t>bruto plaće, naknade, prijevoz zaposlenika te na prehranu učenika.</w:t>
      </w:r>
    </w:p>
    <w:p w:rsidR="001031ED" w:rsidRDefault="001031ED"/>
    <w:p w:rsidR="001031ED" w:rsidRDefault="004B4BDE">
      <w:pPr>
        <w:keepNext/>
        <w:spacing w:line="240" w:lineRule="auto"/>
        <w:jc w:val="center"/>
      </w:pPr>
      <w:r>
        <w:rPr>
          <w:sz w:val="28"/>
        </w:rPr>
        <w:lastRenderedPageBreak/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</w:t>
            </w:r>
            <w:r>
              <w:rPr>
                <w:b/>
                <w:sz w:val="18"/>
              </w:rPr>
              <w:t>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1.544,16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6.326,84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409,7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 xml:space="preserve">Prihodi od pruženih usluga koji se odnose na iznajmljivanje sportske </w:t>
      </w:r>
      <w:r>
        <w:t>dvorane ukupno iznose 6.326,84 eura, te su znatno viši u odnosu na prethodno razdoblje iz razloga što se prošle godine provodila adaptacija sportske dvorane te se nije mogla iznajmljivati.</w:t>
      </w:r>
    </w:p>
    <w:p w:rsidR="001031ED" w:rsidRDefault="001031ED"/>
    <w:p w:rsidR="001031ED" w:rsidRDefault="004B4BDE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</w:t>
            </w:r>
            <w:r>
              <w:rPr>
                <w:b/>
                <w:sz w:val="18"/>
              </w:rPr>
              <w:t>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i od HZZO-a na temelju ugovornih obveza (šifre 671+673)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51.455,06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76.864,75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149,4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 xml:space="preserve">Prihodi iz nadležnog proračuna Grada </w:t>
      </w:r>
      <w:r>
        <w:t xml:space="preserve">Vinkovaca ukupno su povećani za 49,4% i iznose 76.864,75 eura, od kojih se 12.831,56 eura odnosi na prihode iz nadležnog proračuna za nabavu nefinancijske imovine za ugradnju novih ulaznih vrata i električne brave s </w:t>
      </w:r>
      <w:proofErr w:type="spellStart"/>
      <w:r>
        <w:t>interfonom</w:t>
      </w:r>
      <w:proofErr w:type="spellEnd"/>
      <w:r>
        <w:t xml:space="preserve"> radi provedbe sigurnosnih mje</w:t>
      </w:r>
      <w:r>
        <w:t>ra i zaštite učenika i zaposlenika škole.</w:t>
      </w:r>
    </w:p>
    <w:p w:rsidR="001031ED" w:rsidRDefault="001031ED"/>
    <w:p w:rsidR="001031ED" w:rsidRDefault="004B4BDE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909.255,40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1.139.121,86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125,3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 xml:space="preserve">Ukupni rashodi poslovanja čine rashodi razreda 3 koji su povećani za 25,3% u odnosu na prethodno razdoblje i iznose 1.139.121,86 eura, a najvećim dijelom odnose se na rashode za zaposlene u iznosu od 963.426,15 eura. </w:t>
      </w:r>
      <w:r>
        <w:t>Navedeno povećanje se dogodilo zbog ukidanja kontinuiranih rashoda.</w:t>
      </w:r>
    </w:p>
    <w:p w:rsidR="001031ED" w:rsidRDefault="001031ED" w:rsidP="00921957">
      <w:pPr>
        <w:spacing w:line="360" w:lineRule="auto"/>
      </w:pPr>
    </w:p>
    <w:p w:rsidR="001031ED" w:rsidRDefault="004B4BDE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</w:t>
            </w:r>
            <w:r>
              <w:rPr>
                <w:sz w:val="18"/>
              </w:rPr>
              <w:t xml:space="preserve">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617.819,69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811.462,41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131,3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>Pozicija 311 Plaće je porasla za 31,3% u odnosu na prethodnu godinu zbog različitog knjiženja u odnosu na prethodno razdoblje. Naime, ukidanjem kontinuiranih rashoda, ovaj izvještaj je obuhvatio sedam plaća,</w:t>
      </w:r>
      <w:r>
        <w:t xml:space="preserve"> dok je u prethodnom bilo iskazano šest plaća.</w:t>
      </w:r>
    </w:p>
    <w:p w:rsidR="001031ED" w:rsidRDefault="001031ED"/>
    <w:p w:rsidR="001031ED" w:rsidRDefault="004B4BDE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23.888,91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16.494,98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69,0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 xml:space="preserve">Službena putovanja su manja u odnosu na prethodno razdoblje, jer su prošle godine učitelji sudjelovali u </w:t>
      </w:r>
      <w:proofErr w:type="spellStart"/>
      <w:r>
        <w:t>erasmus</w:t>
      </w:r>
      <w:proofErr w:type="spellEnd"/>
      <w:r>
        <w:t xml:space="preserve"> mobilnosti i preko akredi</w:t>
      </w:r>
      <w:r w:rsidR="00921957">
        <w:t xml:space="preserve">tacije i preko </w:t>
      </w:r>
      <w:proofErr w:type="spellStart"/>
      <w:r w:rsidR="00921957">
        <w:t>erasmus</w:t>
      </w:r>
      <w:proofErr w:type="spellEnd"/>
      <w:r w:rsidR="00921957">
        <w:t xml:space="preserve"> projekta koji je i završio u prethodnoj godini.</w:t>
      </w:r>
    </w:p>
    <w:p w:rsidR="001031ED" w:rsidRDefault="004B4BDE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3.118,80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3560,3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>Ove godine su djelatnici škole išli ranije na obvezne sistematske preglede pa je iz tog</w:t>
      </w:r>
      <w:r>
        <w:t xml:space="preserve"> razloga povećan trošak u odnosu na prethodno razdoblje.</w:t>
      </w:r>
    </w:p>
    <w:p w:rsidR="001031ED" w:rsidRDefault="001031ED"/>
    <w:p w:rsidR="001031ED" w:rsidRDefault="004B4BDE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Obračunati prihodi poslovanja - </w:t>
            </w:r>
            <w:r>
              <w:rPr>
                <w:sz w:val="18"/>
              </w:rPr>
              <w:t>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2.223,23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134.589,04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6053,8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 xml:space="preserve">Obračunati prihodi poslovanja na poziciji 96 se odnosi na knjiženje potraživanja za plaću za mjesec lipanj u iznosu od 133.076,08 eura, dok obračunati, a nenaplaćeni prihodi poslovanja za najam sportske dvorane </w:t>
      </w:r>
      <w:r>
        <w:t>iznose 1.512,96 eura.</w:t>
      </w:r>
    </w:p>
    <w:p w:rsidR="001031ED" w:rsidRDefault="001031ED"/>
    <w:p w:rsidR="001031ED" w:rsidRDefault="004B4BDE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dodatna ulaganja na nefinancijskoj imovini (šifre 451 </w:t>
            </w:r>
            <w:r>
              <w:rPr>
                <w:sz w:val="18"/>
              </w:rPr>
              <w:t>do 454)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12.831,56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 xml:space="preserve">Dodatna ulaganja na građevinskim objektima u iznosu od 12.831,56 eura se odnose na ugradnju novih ulaznih vrata i električne brave s </w:t>
      </w:r>
      <w:proofErr w:type="spellStart"/>
      <w:r>
        <w:t>interfonom</w:t>
      </w:r>
      <w:proofErr w:type="spellEnd"/>
      <w:r>
        <w:t xml:space="preserve"> radi provedbe sigurnosnih mjera i zaštite učenika i zaposlenika škole.</w:t>
      </w:r>
    </w:p>
    <w:p w:rsidR="001031ED" w:rsidRDefault="001031ED"/>
    <w:p w:rsidR="001031ED" w:rsidRDefault="004B4BDE">
      <w:pPr>
        <w:keepNext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Izvještaj </w:t>
      </w:r>
      <w:r>
        <w:rPr>
          <w:b/>
          <w:sz w:val="28"/>
        </w:rPr>
        <w:t>o obvezama</w:t>
      </w:r>
    </w:p>
    <w:p w:rsidR="004B4BDE" w:rsidRDefault="004B4BDE">
      <w:pPr>
        <w:keepNext/>
        <w:spacing w:line="240" w:lineRule="auto"/>
        <w:jc w:val="center"/>
      </w:pPr>
      <w:bookmarkStart w:id="0" w:name="_GoBack"/>
      <w:bookmarkEnd w:id="0"/>
    </w:p>
    <w:p w:rsidR="001031ED" w:rsidRDefault="004B4BDE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1031E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133.645,82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 xml:space="preserve">Stanje obveza na dan 1. siječnja iznosi 133.645,82 </w:t>
      </w:r>
      <w:r>
        <w:t>eura, a stanje obveza na kraju izvještajnog razdoblja iznosi 187.429,70 eura od kojih se najveći udio odnosi na bruto plaće zaposlenika Škole.</w:t>
      </w:r>
    </w:p>
    <w:p w:rsidR="001031ED" w:rsidRDefault="001031ED"/>
    <w:p w:rsidR="001031ED" w:rsidRDefault="004B4BDE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0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031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1031E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kraju </w:t>
            </w:r>
            <w:r>
              <w:rPr>
                <w:sz w:val="18"/>
              </w:rPr>
              <w:t>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1031ED" w:rsidRDefault="004B4BD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1031ED" w:rsidRDefault="001031ED">
      <w:pPr>
        <w:spacing w:after="0"/>
      </w:pPr>
    </w:p>
    <w:p w:rsidR="001031ED" w:rsidRDefault="004B4BDE" w:rsidP="00921957">
      <w:pPr>
        <w:spacing w:line="360" w:lineRule="auto"/>
        <w:jc w:val="both"/>
      </w:pPr>
      <w:r>
        <w:t>Stanje dospjelih obveza iznosi 0,00 eura jer nema obveza čije je dospijeće bilo 30. lipnja ili ranije.</w:t>
      </w:r>
    </w:p>
    <w:p w:rsidR="00921957" w:rsidRDefault="00921957" w:rsidP="00921957">
      <w:pPr>
        <w:spacing w:line="360" w:lineRule="auto"/>
        <w:ind w:left="6372" w:firstLine="708"/>
        <w:jc w:val="center"/>
      </w:pPr>
      <w:r>
        <w:t>Ravnatelj</w:t>
      </w:r>
    </w:p>
    <w:p w:rsidR="00921957" w:rsidRDefault="00921957" w:rsidP="00921957">
      <w:pPr>
        <w:spacing w:line="360" w:lineRule="auto"/>
        <w:jc w:val="right"/>
      </w:pPr>
      <w:r>
        <w:t>dr.sc. Mario Lovrić</w:t>
      </w:r>
    </w:p>
    <w:p w:rsidR="001031ED" w:rsidRDefault="001031ED"/>
    <w:sectPr w:rsidR="0010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31ED"/>
    <w:rsid w:val="001031ED"/>
    <w:rsid w:val="004B4BDE"/>
    <w:rsid w:val="009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A55B"/>
  <w15:docId w15:val="{F076A52B-E34A-4155-9B8E-329A4C7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cp:lastPrinted>2025-07-10T06:01:00Z</cp:lastPrinted>
  <dcterms:created xsi:type="dcterms:W3CDTF">2025-07-10T05:53:00Z</dcterms:created>
  <dcterms:modified xsi:type="dcterms:W3CDTF">2025-07-10T06:01:00Z</dcterms:modified>
</cp:coreProperties>
</file>